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BB" w:rsidRPr="003E5A2B" w:rsidRDefault="00161FBB" w:rsidP="00161FB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val="ro-RO"/>
        </w:rPr>
      </w:pPr>
      <w:r w:rsidRPr="003E5A2B">
        <w:rPr>
          <w:sz w:val="28"/>
          <w:szCs w:val="28"/>
          <w:lang w:val="ro-RO"/>
        </w:rPr>
        <w:t>COMUNICAT DE PRESĂ</w:t>
      </w:r>
    </w:p>
    <w:p w:rsidR="005247C8" w:rsidRPr="003E5A2B" w:rsidRDefault="005247C8" w:rsidP="00161FBB">
      <w:pPr>
        <w:widowControl w:val="0"/>
        <w:shd w:val="clear" w:color="auto" w:fill="FFFFFF"/>
        <w:autoSpaceDE w:val="0"/>
        <w:autoSpaceDN w:val="0"/>
        <w:adjustRightInd w:val="0"/>
        <w:spacing w:before="72" w:after="72" w:line="360" w:lineRule="atLeast"/>
        <w:ind w:left="53" w:right="53"/>
        <w:jc w:val="both"/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</w:pPr>
    </w:p>
    <w:p w:rsidR="00161FBB" w:rsidRPr="003E5A2B" w:rsidRDefault="00161FBB" w:rsidP="00161FBB">
      <w:pPr>
        <w:widowControl w:val="0"/>
        <w:shd w:val="clear" w:color="auto" w:fill="FFFFFF"/>
        <w:autoSpaceDE w:val="0"/>
        <w:autoSpaceDN w:val="0"/>
        <w:adjustRightInd w:val="0"/>
        <w:spacing w:before="72" w:after="120" w:line="360" w:lineRule="atLeast"/>
        <w:ind w:left="53" w:right="58"/>
        <w:jc w:val="both"/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</w:pPr>
      <w:r w:rsidRPr="003E5A2B"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  <w:t xml:space="preserve">În şedinţa din </w:t>
      </w:r>
      <w:r w:rsidR="009072AB"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  <w:t>5</w:t>
      </w:r>
      <w:r w:rsidRPr="003E5A2B"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  <w:t xml:space="preserve"> </w:t>
      </w:r>
      <w:r w:rsidR="009072AB">
        <w:rPr>
          <w:rFonts w:asciiTheme="minorHAnsi" w:hAnsiTheme="minorHAnsi" w:cs="Times New Roman Bold"/>
          <w:b/>
          <w:bCs/>
          <w:sz w:val="28"/>
          <w:szCs w:val="28"/>
          <w:lang w:val="ro-RO"/>
        </w:rPr>
        <w:t>ianuarie</w:t>
      </w:r>
      <w:r w:rsidRPr="003E5A2B"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  <w:t xml:space="preserve"> 201</w:t>
      </w:r>
      <w:r w:rsidR="009072AB"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  <w:t>2</w:t>
      </w:r>
      <w:r w:rsidRPr="003E5A2B"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  <w:t>, Consiliul de administraţie al Băncii Naţionale a României a hotărât următoarele:</w:t>
      </w:r>
    </w:p>
    <w:p w:rsidR="00161FBB" w:rsidRPr="003E5A2B" w:rsidRDefault="009072AB" w:rsidP="00161FBB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  <w:tab w:val="left" w:pos="1133"/>
        </w:tabs>
        <w:autoSpaceDE w:val="0"/>
        <w:autoSpaceDN w:val="0"/>
        <w:adjustRightInd w:val="0"/>
        <w:spacing w:before="72" w:after="120" w:line="360" w:lineRule="atLeast"/>
        <w:ind w:right="58"/>
        <w:jc w:val="both"/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  <w:t xml:space="preserve">Reducerea </w:t>
      </w:r>
      <w:r w:rsidR="00161FBB" w:rsidRPr="003E5A2B"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  <w:t xml:space="preserve">ratei dobânzii de politică monetară </w:t>
      </w:r>
      <w:r w:rsidR="00CD7DA9" w:rsidRPr="003E5A2B"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  <w:t xml:space="preserve">la nivelul de </w:t>
      </w:r>
      <w:r w:rsidR="00AA3714"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  <w:t>5</w:t>
      </w:r>
      <w:r w:rsidR="00161FBB" w:rsidRPr="003E5A2B"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  <w:t>,</w:t>
      </w:r>
      <w:r w:rsidR="00AA3714"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  <w:t>75</w:t>
      </w:r>
      <w:r w:rsidR="00161FBB" w:rsidRPr="003E5A2B"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  <w:t xml:space="preserve"> la sută pe an</w:t>
      </w:r>
      <w:r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  <w:t xml:space="preserve"> de la 6,00 la sută începând cu data de 6 ianuarie 2012</w:t>
      </w:r>
      <w:r w:rsidR="00161FBB" w:rsidRPr="003E5A2B">
        <w:rPr>
          <w:b/>
          <w:bCs/>
          <w:sz w:val="28"/>
          <w:szCs w:val="28"/>
          <w:lang w:val="ro-RO"/>
        </w:rPr>
        <w:t xml:space="preserve">; </w:t>
      </w:r>
      <w:r w:rsidR="00161FBB" w:rsidRPr="003E5A2B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161FBB" w:rsidRPr="003E5A2B" w:rsidRDefault="00161FBB" w:rsidP="00161FBB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  <w:tab w:val="left" w:pos="1133"/>
        </w:tabs>
        <w:autoSpaceDE w:val="0"/>
        <w:autoSpaceDN w:val="0"/>
        <w:adjustRightInd w:val="0"/>
        <w:spacing w:before="72" w:after="120" w:line="360" w:lineRule="atLeast"/>
        <w:ind w:right="58"/>
        <w:jc w:val="both"/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</w:pPr>
      <w:r w:rsidRPr="003E5A2B"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  <w:t>Gestionarea adecvată a lichidităţii din sistemul bancar;</w:t>
      </w:r>
    </w:p>
    <w:p w:rsidR="00161FBB" w:rsidRPr="003E5A2B" w:rsidRDefault="00161FBB" w:rsidP="00161FBB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  <w:tab w:val="left" w:pos="1133"/>
        </w:tabs>
        <w:autoSpaceDE w:val="0"/>
        <w:autoSpaceDN w:val="0"/>
        <w:adjustRightInd w:val="0"/>
        <w:spacing w:before="72" w:after="240" w:line="360" w:lineRule="atLeast"/>
        <w:ind w:right="53"/>
        <w:jc w:val="both"/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</w:pPr>
      <w:r w:rsidRPr="003E5A2B">
        <w:rPr>
          <w:b/>
          <w:bCs/>
          <w:sz w:val="28"/>
          <w:szCs w:val="28"/>
          <w:lang w:val="ro-RO"/>
        </w:rPr>
        <w:t xml:space="preserve">Menţinerea </w:t>
      </w:r>
      <w:r w:rsidRPr="003E5A2B"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  <w:t>nivelurilor actuale ale ratelor rezervelor minime obligatorii aplicabile pasivelor în lei şi în valută ale instituţiilor de credit</w:t>
      </w:r>
      <w:r w:rsidR="00134216" w:rsidRPr="003E5A2B">
        <w:rPr>
          <w:rFonts w:ascii="Times New Roman Bold" w:hAnsi="Times New Roman Bold" w:cs="Times New Roman Bold"/>
          <w:b/>
          <w:bCs/>
          <w:sz w:val="28"/>
          <w:szCs w:val="28"/>
          <w:lang w:val="ro-RO"/>
        </w:rPr>
        <w:t>.</w:t>
      </w:r>
    </w:p>
    <w:p w:rsidR="00385288" w:rsidRDefault="00385288" w:rsidP="00385288">
      <w:pPr>
        <w:widowControl w:val="0"/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before="72" w:after="120" w:line="360" w:lineRule="atLeast"/>
        <w:ind w:right="58"/>
        <w:jc w:val="both"/>
        <w:rPr>
          <w:rFonts w:ascii="TimesNewRomanPSMT" w:hAnsi="TimesNewRomanPSMT" w:cs="TimesNewRomanPSMT"/>
          <w:b/>
          <w:sz w:val="28"/>
          <w:szCs w:val="28"/>
          <w:lang w:val="ro-RO"/>
        </w:rPr>
      </w:pPr>
      <w:r w:rsidRPr="003E5A2B">
        <w:rPr>
          <w:b/>
          <w:bCs/>
          <w:sz w:val="28"/>
          <w:szCs w:val="28"/>
          <w:lang w:val="ro-RO"/>
        </w:rPr>
        <w:t xml:space="preserve">CA al BNR reafirmă că banca centrală va </w:t>
      </w:r>
      <w:r w:rsidRPr="003E5A2B">
        <w:rPr>
          <w:b/>
          <w:sz w:val="28"/>
          <w:szCs w:val="28"/>
          <w:lang w:val="ro-RO"/>
        </w:rPr>
        <w:t>monitoriza în continuare evoluţiile interne</w:t>
      </w:r>
      <w:r w:rsidR="00755E16">
        <w:rPr>
          <w:b/>
          <w:sz w:val="28"/>
          <w:szCs w:val="28"/>
          <w:lang w:val="ro-RO"/>
        </w:rPr>
        <w:t xml:space="preserve"> </w:t>
      </w:r>
      <w:r w:rsidRPr="003E5A2B">
        <w:rPr>
          <w:b/>
          <w:sz w:val="28"/>
          <w:szCs w:val="28"/>
          <w:lang w:val="ro-RO"/>
        </w:rPr>
        <w:t xml:space="preserve">şi ale mediului economic internaţional, astfel încât, prin </w:t>
      </w:r>
      <w:r w:rsidR="00320ECE" w:rsidRPr="00D241FF">
        <w:rPr>
          <w:rFonts w:ascii="Times New Roman Bold" w:hAnsi="Times New Roman Bold"/>
          <w:b/>
          <w:sz w:val="28"/>
          <w:szCs w:val="28"/>
          <w:lang w:val="ro-RO"/>
        </w:rPr>
        <w:t>ajustarea</w:t>
      </w:r>
      <w:r w:rsidRPr="00D241FF">
        <w:rPr>
          <w:b/>
          <w:sz w:val="28"/>
          <w:szCs w:val="28"/>
          <w:lang w:val="ro-RO"/>
        </w:rPr>
        <w:t xml:space="preserve"> </w:t>
      </w:r>
      <w:r w:rsidRPr="003E5A2B">
        <w:rPr>
          <w:b/>
          <w:sz w:val="28"/>
          <w:szCs w:val="28"/>
          <w:lang w:val="ro-RO"/>
        </w:rPr>
        <w:t>corespunzătoare a instrumentelor de care dispune, să asigure realizarea stabilităţii preţurilor pe termen mediu şi a stabilităţii financiare.</w:t>
      </w:r>
      <w:r w:rsidRPr="003E5A2B">
        <w:rPr>
          <w:rFonts w:ascii="TimesNewRomanPSMT" w:hAnsi="TimesNewRomanPSMT" w:cs="TimesNewRomanPSMT"/>
          <w:b/>
          <w:sz w:val="28"/>
          <w:szCs w:val="28"/>
          <w:lang w:val="ro-RO"/>
        </w:rPr>
        <w:t xml:space="preserve"> </w:t>
      </w:r>
    </w:p>
    <w:p w:rsidR="009072AB" w:rsidRDefault="009072AB" w:rsidP="003E5A2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0F7001" w:rsidRDefault="000F7001" w:rsidP="000243B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3E5A2B">
        <w:rPr>
          <w:sz w:val="28"/>
          <w:szCs w:val="28"/>
          <w:lang w:val="ro-RO"/>
        </w:rPr>
        <w:t>Analiza evoluţii</w:t>
      </w:r>
      <w:r>
        <w:rPr>
          <w:sz w:val="28"/>
          <w:szCs w:val="28"/>
          <w:lang w:val="ro-RO"/>
        </w:rPr>
        <w:t>lor</w:t>
      </w:r>
      <w:r w:rsidRPr="003E5A2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recente ale indicatorilor macroeconomic</w:t>
      </w:r>
      <w:r w:rsidR="009C41F6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atestă</w:t>
      </w:r>
      <w:r w:rsidRPr="00BE4B3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consolidarea </w:t>
      </w:r>
      <w:r w:rsidRPr="003E5A2B">
        <w:rPr>
          <w:sz w:val="28"/>
          <w:szCs w:val="28"/>
          <w:lang w:val="ro-RO"/>
        </w:rPr>
        <w:t xml:space="preserve">procesului de </w:t>
      </w:r>
      <w:proofErr w:type="spellStart"/>
      <w:r w:rsidRPr="003E5A2B">
        <w:rPr>
          <w:sz w:val="28"/>
          <w:szCs w:val="28"/>
          <w:lang w:val="ro-RO"/>
        </w:rPr>
        <w:t>dezinflaţie</w:t>
      </w:r>
      <w:proofErr w:type="spellEnd"/>
      <w:r w:rsidR="00784E5F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r</w:t>
      </w:r>
      <w:r w:rsidR="00756E53">
        <w:rPr>
          <w:sz w:val="28"/>
          <w:szCs w:val="28"/>
          <w:lang w:val="ro-RO"/>
        </w:rPr>
        <w:t>ata anuală a inflaţiei coborâ</w:t>
      </w:r>
      <w:r>
        <w:rPr>
          <w:sz w:val="28"/>
          <w:szCs w:val="28"/>
          <w:lang w:val="ro-RO"/>
        </w:rPr>
        <w:t>nd</w:t>
      </w:r>
      <w:r w:rsidR="00756E53">
        <w:rPr>
          <w:sz w:val="28"/>
          <w:szCs w:val="28"/>
          <w:lang w:val="ro-RO"/>
        </w:rPr>
        <w:t xml:space="preserve"> la nivelul de 3,44 la sută în luna noiembrie 2011 </w:t>
      </w:r>
      <w:r>
        <w:rPr>
          <w:sz w:val="28"/>
          <w:szCs w:val="28"/>
          <w:lang w:val="ro-RO"/>
        </w:rPr>
        <w:t>în condiţiile unei evoluţii favorabile a preţurilor</w:t>
      </w:r>
      <w:r w:rsidR="0010167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volatile, al</w:t>
      </w:r>
      <w:r w:rsidR="009C41F6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disipării efect</w:t>
      </w:r>
      <w:r w:rsidR="00C45C15">
        <w:rPr>
          <w:sz w:val="28"/>
          <w:szCs w:val="28"/>
          <w:lang w:val="ro-RO"/>
        </w:rPr>
        <w:t>ului de runda întâi al</w:t>
      </w:r>
      <w:r>
        <w:rPr>
          <w:sz w:val="28"/>
          <w:szCs w:val="28"/>
          <w:lang w:val="ro-RO"/>
        </w:rPr>
        <w:t xml:space="preserve"> majorării </w:t>
      </w:r>
      <w:r w:rsidR="00C45C15">
        <w:rPr>
          <w:sz w:val="28"/>
          <w:szCs w:val="28"/>
          <w:lang w:val="ro-RO"/>
        </w:rPr>
        <w:t xml:space="preserve">cotei </w:t>
      </w:r>
      <w:r>
        <w:rPr>
          <w:sz w:val="28"/>
          <w:szCs w:val="28"/>
          <w:lang w:val="ro-RO"/>
        </w:rPr>
        <w:t>TVA şi al</w:t>
      </w:r>
      <w:r w:rsidR="009C41F6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</w:t>
      </w:r>
      <w:r w:rsidR="00C45C15">
        <w:rPr>
          <w:sz w:val="28"/>
          <w:szCs w:val="28"/>
          <w:lang w:val="ro-RO"/>
        </w:rPr>
        <w:t xml:space="preserve">menţinerii </w:t>
      </w:r>
      <w:r w:rsidR="0010167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conduitei prudente a politicii monetare. </w:t>
      </w:r>
      <w:hyperlink r:id="rId6" w:anchor="nota1" w:tooltip="calculată prin eliminarea din indicele preţurilor de consum a preţurilor administrate, a celor volatile şi a preţurilor tutunului şi băuturilor alcoolice" w:history="1">
        <w:r>
          <w:rPr>
            <w:rStyle w:val="Hyperlink"/>
            <w:sz w:val="28"/>
            <w:szCs w:val="28"/>
            <w:lang w:val="ro-RO"/>
          </w:rPr>
          <w:t>R</w:t>
        </w:r>
        <w:r w:rsidRPr="003E5A2B">
          <w:rPr>
            <w:rStyle w:val="Hyperlink"/>
            <w:sz w:val="28"/>
            <w:szCs w:val="28"/>
            <w:lang w:val="ro-RO"/>
          </w:rPr>
          <w:t>ata anual</w:t>
        </w:r>
        <w:r>
          <w:rPr>
            <w:rStyle w:val="Hyperlink"/>
            <w:sz w:val="28"/>
            <w:szCs w:val="28"/>
            <w:lang w:val="ro-RO"/>
          </w:rPr>
          <w:t>ă</w:t>
        </w:r>
        <w:r w:rsidRPr="003E5A2B">
          <w:rPr>
            <w:rStyle w:val="Hyperlink"/>
            <w:sz w:val="28"/>
            <w:szCs w:val="28"/>
            <w:lang w:val="ro-RO"/>
          </w:rPr>
          <w:t xml:space="preserve"> a inflaţiei de bază CORE2 ajustat</w:t>
        </w:r>
      </w:hyperlink>
      <w:r w:rsidRPr="003E5A2B">
        <w:rPr>
          <w:sz w:val="28"/>
          <w:szCs w:val="28"/>
          <w:lang w:val="ro-RO"/>
        </w:rPr>
        <w:t xml:space="preserve"> a </w:t>
      </w:r>
      <w:r>
        <w:rPr>
          <w:sz w:val="28"/>
          <w:szCs w:val="28"/>
          <w:lang w:val="ro-RO"/>
        </w:rPr>
        <w:t xml:space="preserve">scăzut de asemenea la </w:t>
      </w:r>
      <w:r w:rsidR="00F01A80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>,6</w:t>
      </w:r>
      <w:r w:rsidR="00F01A80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 xml:space="preserve"> la sută în luna noiembrie 2011 faţă de 4,77 la sută în martie </w:t>
      </w:r>
      <w:r w:rsidR="00784E5F">
        <w:rPr>
          <w:sz w:val="28"/>
          <w:szCs w:val="28"/>
          <w:lang w:val="ro-RO"/>
        </w:rPr>
        <w:t>–</w:t>
      </w:r>
      <w:r>
        <w:rPr>
          <w:sz w:val="28"/>
          <w:szCs w:val="28"/>
          <w:lang w:val="ro-RO"/>
        </w:rPr>
        <w:t xml:space="preserve"> maximul anului 2011</w:t>
      </w:r>
      <w:r w:rsidR="00F72395">
        <w:rPr>
          <w:sz w:val="28"/>
          <w:szCs w:val="28"/>
          <w:lang w:val="ro-RO"/>
        </w:rPr>
        <w:t>.</w:t>
      </w:r>
    </w:p>
    <w:p w:rsidR="00F72395" w:rsidRDefault="00F72395" w:rsidP="000243B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F72395" w:rsidRPr="00F72395" w:rsidRDefault="00C45C15" w:rsidP="00F72395">
      <w:pPr>
        <w:autoSpaceDE w:val="0"/>
        <w:autoSpaceDN w:val="0"/>
        <w:adjustRightInd w:val="0"/>
        <w:jc w:val="both"/>
        <w:rPr>
          <w:sz w:val="28"/>
        </w:rPr>
      </w:pPr>
      <w:r w:rsidRPr="00AA3714">
        <w:rPr>
          <w:sz w:val="28"/>
          <w:szCs w:val="28"/>
          <w:lang w:val="ro-RO"/>
        </w:rPr>
        <w:t>Evaluările actuale</w:t>
      </w:r>
      <w:r>
        <w:rPr>
          <w:sz w:val="28"/>
          <w:szCs w:val="28"/>
          <w:lang w:val="ro-RO"/>
        </w:rPr>
        <w:t xml:space="preserve"> </w:t>
      </w:r>
      <w:r w:rsidR="00130CBE">
        <w:rPr>
          <w:sz w:val="28"/>
          <w:szCs w:val="28"/>
          <w:lang w:val="ro-RO"/>
        </w:rPr>
        <w:t xml:space="preserve">ale băncii centrale </w:t>
      </w:r>
      <w:r w:rsidR="000F7001">
        <w:rPr>
          <w:sz w:val="28"/>
          <w:szCs w:val="28"/>
          <w:lang w:val="ro-RO"/>
        </w:rPr>
        <w:t xml:space="preserve">indică plasarea </w:t>
      </w:r>
      <w:r>
        <w:rPr>
          <w:sz w:val="28"/>
          <w:szCs w:val="28"/>
          <w:lang w:val="ro-RO"/>
        </w:rPr>
        <w:t>î</w:t>
      </w:r>
      <w:r w:rsidR="000F7001">
        <w:rPr>
          <w:sz w:val="28"/>
          <w:szCs w:val="28"/>
          <w:lang w:val="ro-RO"/>
        </w:rPr>
        <w:t xml:space="preserve">n luna decembrie 2011 </w:t>
      </w:r>
      <w:r w:rsidR="0010167E">
        <w:rPr>
          <w:sz w:val="28"/>
          <w:szCs w:val="28"/>
          <w:lang w:val="ro-RO"/>
        </w:rPr>
        <w:t>a ratei anuale a inflaţiei</w:t>
      </w:r>
      <w:r w:rsidR="000F7001">
        <w:rPr>
          <w:sz w:val="28"/>
          <w:szCs w:val="28"/>
          <w:lang w:val="ro-RO"/>
        </w:rPr>
        <w:t xml:space="preserve"> în apropierea </w:t>
      </w:r>
      <w:r>
        <w:rPr>
          <w:sz w:val="28"/>
          <w:szCs w:val="28"/>
          <w:lang w:val="ro-RO"/>
        </w:rPr>
        <w:t xml:space="preserve">punctului central al </w:t>
      </w:r>
      <w:r w:rsidR="00410F89">
        <w:rPr>
          <w:sz w:val="28"/>
          <w:szCs w:val="28"/>
          <w:lang w:val="ro-RO"/>
        </w:rPr>
        <w:t>ţint</w:t>
      </w:r>
      <w:r w:rsidR="000F7001">
        <w:rPr>
          <w:sz w:val="28"/>
          <w:szCs w:val="28"/>
          <w:lang w:val="ro-RO"/>
        </w:rPr>
        <w:t>ei</w:t>
      </w:r>
      <w:r w:rsidR="00410F89">
        <w:rPr>
          <w:sz w:val="28"/>
          <w:szCs w:val="28"/>
          <w:lang w:val="ro-RO"/>
        </w:rPr>
        <w:t xml:space="preserve"> </w:t>
      </w:r>
      <w:r w:rsidR="000F7001">
        <w:rPr>
          <w:sz w:val="28"/>
          <w:szCs w:val="28"/>
          <w:lang w:val="ro-RO"/>
        </w:rPr>
        <w:t>de 3 la sută,</w:t>
      </w:r>
      <w:r w:rsidR="000F7001" w:rsidRPr="000F7001">
        <w:t xml:space="preserve"> </w:t>
      </w:r>
      <w:proofErr w:type="spellStart"/>
      <w:r w:rsidR="000F7001" w:rsidRPr="000F7001">
        <w:rPr>
          <w:sz w:val="28"/>
          <w:szCs w:val="28"/>
        </w:rPr>
        <w:t>în</w:t>
      </w:r>
      <w:proofErr w:type="spellEnd"/>
      <w:r w:rsidR="000F7001" w:rsidRPr="000F7001">
        <w:rPr>
          <w:sz w:val="28"/>
          <w:szCs w:val="28"/>
        </w:rPr>
        <w:t xml:space="preserve"> </w:t>
      </w:r>
      <w:proofErr w:type="spellStart"/>
      <w:r w:rsidR="000F7001" w:rsidRPr="000F7001">
        <w:rPr>
          <w:sz w:val="28"/>
          <w:szCs w:val="28"/>
        </w:rPr>
        <w:t>linie</w:t>
      </w:r>
      <w:proofErr w:type="spellEnd"/>
      <w:r w:rsidR="000F7001" w:rsidRPr="000F7001">
        <w:rPr>
          <w:sz w:val="28"/>
          <w:szCs w:val="28"/>
        </w:rPr>
        <w:t xml:space="preserve"> cu </w:t>
      </w:r>
      <w:proofErr w:type="spellStart"/>
      <w:r w:rsidR="000F7001" w:rsidRPr="000F7001">
        <w:rPr>
          <w:sz w:val="28"/>
          <w:szCs w:val="28"/>
        </w:rPr>
        <w:t>prognoz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r w:rsidR="00F72395">
        <w:rPr>
          <w:sz w:val="28"/>
          <w:szCs w:val="28"/>
        </w:rPr>
        <w:t>BNR</w:t>
      </w:r>
      <w:r w:rsidR="000F7001" w:rsidRPr="000F7001">
        <w:rPr>
          <w:sz w:val="28"/>
          <w:szCs w:val="28"/>
        </w:rPr>
        <w:t>,</w:t>
      </w:r>
      <w:r w:rsidR="000F7001">
        <w:rPr>
          <w:sz w:val="28"/>
          <w:szCs w:val="28"/>
          <w:lang w:val="ro-RO"/>
        </w:rPr>
        <w:t xml:space="preserve"> şi </w:t>
      </w:r>
      <w:r>
        <w:rPr>
          <w:sz w:val="28"/>
          <w:szCs w:val="28"/>
          <w:lang w:val="ro-RO"/>
        </w:rPr>
        <w:t xml:space="preserve">reconfirmă perspectiva </w:t>
      </w:r>
      <w:r w:rsidR="000F7001">
        <w:rPr>
          <w:sz w:val="28"/>
          <w:szCs w:val="28"/>
          <w:lang w:val="ro-RO"/>
        </w:rPr>
        <w:t>decelerării în lunile imediat următoare atât a inflaţiei totale</w:t>
      </w:r>
      <w:r w:rsidR="00784E5F">
        <w:rPr>
          <w:sz w:val="28"/>
          <w:szCs w:val="28"/>
          <w:lang w:val="ro-RO"/>
        </w:rPr>
        <w:t>,</w:t>
      </w:r>
      <w:r w:rsidR="000F7001">
        <w:rPr>
          <w:sz w:val="28"/>
          <w:szCs w:val="28"/>
          <w:lang w:val="ro-RO"/>
        </w:rPr>
        <w:t xml:space="preserve"> cât şi a celei de bază</w:t>
      </w:r>
      <w:r w:rsidR="00F72395">
        <w:rPr>
          <w:sz w:val="28"/>
          <w:szCs w:val="28"/>
          <w:lang w:val="ro-RO"/>
        </w:rPr>
        <w:t xml:space="preserve">, </w:t>
      </w:r>
      <w:proofErr w:type="spellStart"/>
      <w:r w:rsidR="00F72395" w:rsidRPr="00F72395">
        <w:rPr>
          <w:sz w:val="28"/>
        </w:rPr>
        <w:t>împreun</w:t>
      </w:r>
      <w:r w:rsidR="00FA3288">
        <w:rPr>
          <w:sz w:val="28"/>
        </w:rPr>
        <w:t>ă</w:t>
      </w:r>
      <w:proofErr w:type="spellEnd"/>
      <w:r w:rsidR="00F72395" w:rsidRPr="00F72395">
        <w:rPr>
          <w:sz w:val="28"/>
        </w:rPr>
        <w:t xml:space="preserve"> cu </w:t>
      </w:r>
      <w:proofErr w:type="spellStart"/>
      <w:r w:rsidR="00F72395" w:rsidRPr="00F72395">
        <w:rPr>
          <w:sz w:val="28"/>
        </w:rPr>
        <w:t>ajustarea</w:t>
      </w:r>
      <w:proofErr w:type="spellEnd"/>
      <w:r w:rsidR="00F72395" w:rsidRPr="00F72395">
        <w:rPr>
          <w:sz w:val="28"/>
        </w:rPr>
        <w:t xml:space="preserve"> </w:t>
      </w:r>
      <w:proofErr w:type="spellStart"/>
      <w:r w:rsidR="00F72395" w:rsidRPr="00F72395">
        <w:rPr>
          <w:sz w:val="28"/>
        </w:rPr>
        <w:t>descendent</w:t>
      </w:r>
      <w:r w:rsidR="00FA3288">
        <w:rPr>
          <w:sz w:val="28"/>
        </w:rPr>
        <w:t>ă</w:t>
      </w:r>
      <w:proofErr w:type="spellEnd"/>
      <w:r w:rsidR="00F72395" w:rsidRPr="00F72395">
        <w:rPr>
          <w:sz w:val="28"/>
        </w:rPr>
        <w:t xml:space="preserve"> a </w:t>
      </w:r>
      <w:proofErr w:type="spellStart"/>
      <w:r w:rsidR="00F72395" w:rsidRPr="00F72395">
        <w:rPr>
          <w:sz w:val="28"/>
        </w:rPr>
        <w:t>anticipa</w:t>
      </w:r>
      <w:r w:rsidR="00FA3288">
        <w:rPr>
          <w:sz w:val="28"/>
        </w:rPr>
        <w:t>ţ</w:t>
      </w:r>
      <w:r w:rsidR="00F72395" w:rsidRPr="00F72395">
        <w:rPr>
          <w:sz w:val="28"/>
        </w:rPr>
        <w:t>iilor</w:t>
      </w:r>
      <w:proofErr w:type="spellEnd"/>
      <w:r w:rsidR="00F72395" w:rsidRPr="00F72395">
        <w:rPr>
          <w:sz w:val="28"/>
        </w:rPr>
        <w:t xml:space="preserve"> </w:t>
      </w:r>
      <w:proofErr w:type="spellStart"/>
      <w:r w:rsidR="00F72395" w:rsidRPr="00F72395">
        <w:rPr>
          <w:sz w:val="28"/>
        </w:rPr>
        <w:t>infla</w:t>
      </w:r>
      <w:r w:rsidR="00FA3288">
        <w:rPr>
          <w:sz w:val="28"/>
        </w:rPr>
        <w:t>ţ</w:t>
      </w:r>
      <w:r w:rsidR="00F72395" w:rsidRPr="00F72395">
        <w:rPr>
          <w:sz w:val="28"/>
        </w:rPr>
        <w:t>ioniste</w:t>
      </w:r>
      <w:proofErr w:type="spellEnd"/>
      <w:r w:rsidR="00F72395" w:rsidRPr="00F72395">
        <w:rPr>
          <w:sz w:val="28"/>
        </w:rPr>
        <w:t>.</w:t>
      </w:r>
    </w:p>
    <w:p w:rsidR="002A4239" w:rsidRDefault="002A4239" w:rsidP="003E5A2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0F7001" w:rsidRDefault="00B35C49" w:rsidP="00E67CB0">
      <w:pPr>
        <w:autoSpaceDE w:val="0"/>
        <w:autoSpaceDN w:val="0"/>
        <w:adjustRightInd w:val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P</w:t>
      </w:r>
      <w:r w:rsidR="00D80AE6">
        <w:rPr>
          <w:bCs/>
          <w:sz w:val="28"/>
          <w:szCs w:val="28"/>
          <w:lang w:val="ro-RO"/>
        </w:rPr>
        <w:t>rocesul de r</w:t>
      </w:r>
      <w:r w:rsidR="000F7001">
        <w:rPr>
          <w:bCs/>
          <w:sz w:val="28"/>
          <w:szCs w:val="28"/>
          <w:lang w:val="ro-RO"/>
        </w:rPr>
        <w:t>e</w:t>
      </w:r>
      <w:r w:rsidR="00D80AE6">
        <w:rPr>
          <w:bCs/>
          <w:sz w:val="28"/>
          <w:szCs w:val="28"/>
          <w:lang w:val="ro-RO"/>
        </w:rPr>
        <w:t>dresare a eco</w:t>
      </w:r>
      <w:r w:rsidR="000F7001">
        <w:rPr>
          <w:bCs/>
          <w:sz w:val="28"/>
          <w:szCs w:val="28"/>
          <w:lang w:val="ro-RO"/>
        </w:rPr>
        <w:t>nomie</w:t>
      </w:r>
      <w:r w:rsidR="00D80AE6">
        <w:rPr>
          <w:bCs/>
          <w:sz w:val="28"/>
          <w:szCs w:val="28"/>
          <w:lang w:val="ro-RO"/>
        </w:rPr>
        <w:t>i</w:t>
      </w:r>
      <w:r w:rsidR="000F7001">
        <w:rPr>
          <w:bCs/>
          <w:sz w:val="28"/>
          <w:szCs w:val="28"/>
          <w:lang w:val="ro-RO"/>
        </w:rPr>
        <w:t xml:space="preserve"> </w:t>
      </w:r>
      <w:r w:rsidR="00D80AE6">
        <w:rPr>
          <w:bCs/>
          <w:sz w:val="28"/>
          <w:szCs w:val="28"/>
          <w:lang w:val="ro-RO"/>
        </w:rPr>
        <w:t xml:space="preserve">româneşti </w:t>
      </w:r>
      <w:r w:rsidR="000F7001">
        <w:rPr>
          <w:bCs/>
          <w:sz w:val="28"/>
          <w:szCs w:val="28"/>
          <w:lang w:val="ro-RO"/>
        </w:rPr>
        <w:t>a continuat</w:t>
      </w:r>
      <w:r w:rsidR="00D80AE6">
        <w:rPr>
          <w:bCs/>
          <w:sz w:val="28"/>
          <w:szCs w:val="28"/>
          <w:lang w:val="ro-RO"/>
        </w:rPr>
        <w:t xml:space="preserve"> </w:t>
      </w:r>
      <w:r w:rsidR="00784E5F">
        <w:rPr>
          <w:bCs/>
          <w:sz w:val="28"/>
          <w:szCs w:val="28"/>
          <w:lang w:val="ro-RO"/>
        </w:rPr>
        <w:t>–</w:t>
      </w:r>
      <w:r w:rsidR="00D80AE6">
        <w:rPr>
          <w:bCs/>
          <w:sz w:val="28"/>
          <w:szCs w:val="28"/>
          <w:lang w:val="ro-RO"/>
        </w:rPr>
        <w:t xml:space="preserve"> susţinut de dinamica favorabilă a </w:t>
      </w:r>
      <w:r w:rsidR="00FA3288">
        <w:rPr>
          <w:bCs/>
          <w:sz w:val="28"/>
          <w:szCs w:val="28"/>
          <w:lang w:val="ro-RO"/>
        </w:rPr>
        <w:t>exporturilor,</w:t>
      </w:r>
      <w:r w:rsidR="00BE7DA7">
        <w:rPr>
          <w:bCs/>
          <w:sz w:val="28"/>
          <w:szCs w:val="28"/>
          <w:lang w:val="ro-RO"/>
        </w:rPr>
        <w:t xml:space="preserve"> </w:t>
      </w:r>
      <w:r w:rsidR="00FA3288">
        <w:rPr>
          <w:bCs/>
          <w:sz w:val="28"/>
          <w:szCs w:val="28"/>
          <w:lang w:val="ro-RO"/>
        </w:rPr>
        <w:t>p</w:t>
      </w:r>
      <w:r w:rsidR="00D80AE6">
        <w:rPr>
          <w:bCs/>
          <w:sz w:val="28"/>
          <w:szCs w:val="28"/>
          <w:lang w:val="ro-RO"/>
        </w:rPr>
        <w:t>roducţiei industriale</w:t>
      </w:r>
      <w:r w:rsidR="00AA3714">
        <w:rPr>
          <w:bCs/>
          <w:sz w:val="28"/>
          <w:szCs w:val="28"/>
          <w:lang w:val="ro-RO"/>
        </w:rPr>
        <w:t xml:space="preserve"> şi</w:t>
      </w:r>
      <w:r w:rsidR="00D80AE6">
        <w:rPr>
          <w:bCs/>
          <w:sz w:val="28"/>
          <w:szCs w:val="28"/>
          <w:lang w:val="ro-RO"/>
        </w:rPr>
        <w:t xml:space="preserve"> a celei agricole </w:t>
      </w:r>
      <w:r>
        <w:rPr>
          <w:bCs/>
          <w:sz w:val="28"/>
          <w:szCs w:val="28"/>
          <w:lang w:val="ro-RO"/>
        </w:rPr>
        <w:t>–</w:t>
      </w:r>
      <w:r w:rsidR="00D80AE6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 xml:space="preserve">însă </w:t>
      </w:r>
      <w:r w:rsidR="00D80AE6">
        <w:rPr>
          <w:bCs/>
          <w:sz w:val="28"/>
          <w:szCs w:val="28"/>
          <w:lang w:val="ro-RO"/>
        </w:rPr>
        <w:t xml:space="preserve">perspectivele activităţii economice </w:t>
      </w:r>
      <w:r w:rsidR="00C45C15">
        <w:rPr>
          <w:bCs/>
          <w:sz w:val="28"/>
          <w:szCs w:val="28"/>
          <w:lang w:val="ro-RO"/>
        </w:rPr>
        <w:t xml:space="preserve">pe termen scurt </w:t>
      </w:r>
      <w:r w:rsidR="00D80AE6">
        <w:rPr>
          <w:bCs/>
          <w:sz w:val="28"/>
          <w:szCs w:val="28"/>
          <w:lang w:val="ro-RO"/>
        </w:rPr>
        <w:t>sunt marcate de sporirea incertitudinilor privind</w:t>
      </w:r>
      <w:r w:rsidR="000F7001">
        <w:rPr>
          <w:bCs/>
          <w:sz w:val="28"/>
          <w:szCs w:val="28"/>
          <w:lang w:val="ro-RO"/>
        </w:rPr>
        <w:t xml:space="preserve"> </w:t>
      </w:r>
      <w:r w:rsidR="00D80AE6">
        <w:rPr>
          <w:bCs/>
          <w:sz w:val="28"/>
          <w:szCs w:val="28"/>
          <w:lang w:val="ro-RO"/>
        </w:rPr>
        <w:t xml:space="preserve">creşterea economică la nivel </w:t>
      </w:r>
      <w:r w:rsidR="00AA3714">
        <w:rPr>
          <w:bCs/>
          <w:sz w:val="28"/>
          <w:szCs w:val="28"/>
          <w:lang w:val="ro-RO"/>
        </w:rPr>
        <w:t xml:space="preserve">european şi </w:t>
      </w:r>
      <w:r w:rsidR="00D80AE6">
        <w:rPr>
          <w:bCs/>
          <w:sz w:val="28"/>
          <w:szCs w:val="28"/>
          <w:lang w:val="ro-RO"/>
        </w:rPr>
        <w:t>mondial</w:t>
      </w:r>
      <w:r w:rsidR="00130CBE">
        <w:rPr>
          <w:bCs/>
          <w:sz w:val="28"/>
          <w:szCs w:val="28"/>
          <w:lang w:val="ro-RO"/>
        </w:rPr>
        <w:t>,</w:t>
      </w:r>
      <w:r w:rsidR="00D80AE6">
        <w:rPr>
          <w:bCs/>
          <w:sz w:val="28"/>
          <w:szCs w:val="28"/>
          <w:lang w:val="ro-RO"/>
        </w:rPr>
        <w:t xml:space="preserve"> </w:t>
      </w:r>
      <w:r w:rsidR="000F7001">
        <w:rPr>
          <w:bCs/>
          <w:sz w:val="28"/>
          <w:szCs w:val="28"/>
          <w:lang w:val="ro-RO"/>
        </w:rPr>
        <w:t>pe fondul</w:t>
      </w:r>
      <w:r w:rsidR="000F7001" w:rsidRPr="003E5A2B">
        <w:rPr>
          <w:sz w:val="28"/>
          <w:szCs w:val="28"/>
          <w:lang w:val="ro-RO"/>
        </w:rPr>
        <w:t xml:space="preserve"> </w:t>
      </w:r>
      <w:r w:rsidR="000F7001">
        <w:rPr>
          <w:sz w:val="28"/>
          <w:szCs w:val="28"/>
          <w:lang w:val="ro-RO"/>
        </w:rPr>
        <w:t xml:space="preserve">înrăutăţirii </w:t>
      </w:r>
      <w:r w:rsidR="000F7001" w:rsidRPr="003E5A2B">
        <w:rPr>
          <w:sz w:val="28"/>
          <w:szCs w:val="28"/>
          <w:lang w:val="ro-RO"/>
        </w:rPr>
        <w:t>apetitului global faţ</w:t>
      </w:r>
      <w:r w:rsidR="000F7001">
        <w:rPr>
          <w:sz w:val="28"/>
          <w:szCs w:val="28"/>
          <w:lang w:val="ro-RO"/>
        </w:rPr>
        <w:t>ă</w:t>
      </w:r>
      <w:r w:rsidR="000F7001" w:rsidRPr="003E5A2B">
        <w:rPr>
          <w:sz w:val="28"/>
          <w:szCs w:val="28"/>
          <w:lang w:val="ro-RO"/>
        </w:rPr>
        <w:t xml:space="preserve"> de risc</w:t>
      </w:r>
      <w:r w:rsidR="000F7001" w:rsidRPr="00847EB3">
        <w:rPr>
          <w:bCs/>
          <w:sz w:val="28"/>
          <w:szCs w:val="28"/>
          <w:lang w:val="ro-RO"/>
        </w:rPr>
        <w:t xml:space="preserve"> </w:t>
      </w:r>
      <w:r w:rsidR="000F7001">
        <w:rPr>
          <w:bCs/>
          <w:sz w:val="28"/>
          <w:szCs w:val="28"/>
          <w:lang w:val="ro-RO"/>
        </w:rPr>
        <w:t xml:space="preserve">şi </w:t>
      </w:r>
      <w:r w:rsidR="00D80AE6">
        <w:rPr>
          <w:bCs/>
          <w:sz w:val="28"/>
          <w:szCs w:val="28"/>
          <w:lang w:val="ro-RO"/>
        </w:rPr>
        <w:t>al</w:t>
      </w:r>
      <w:r w:rsidR="000F7001">
        <w:rPr>
          <w:sz w:val="28"/>
          <w:szCs w:val="28"/>
          <w:lang w:val="ro-RO"/>
        </w:rPr>
        <w:t xml:space="preserve"> </w:t>
      </w:r>
      <w:r w:rsidR="00D80AE6">
        <w:rPr>
          <w:sz w:val="28"/>
          <w:szCs w:val="28"/>
          <w:lang w:val="ro-RO"/>
        </w:rPr>
        <w:t xml:space="preserve">accentuării </w:t>
      </w:r>
      <w:r w:rsidR="000F7001" w:rsidRPr="003E5A2B">
        <w:rPr>
          <w:bCs/>
          <w:sz w:val="28"/>
          <w:szCs w:val="28"/>
          <w:lang w:val="ro-RO"/>
        </w:rPr>
        <w:t>crizei datoriilor suverane din zona euro</w:t>
      </w:r>
      <w:r w:rsidR="000F7001">
        <w:rPr>
          <w:bCs/>
          <w:sz w:val="28"/>
          <w:szCs w:val="28"/>
          <w:lang w:val="ro-RO"/>
        </w:rPr>
        <w:t>.</w:t>
      </w:r>
      <w:r w:rsidR="00D80AE6">
        <w:rPr>
          <w:bCs/>
          <w:sz w:val="28"/>
          <w:szCs w:val="28"/>
          <w:lang w:val="ro-RO"/>
        </w:rPr>
        <w:t xml:space="preserve"> </w:t>
      </w:r>
    </w:p>
    <w:p w:rsidR="00D80AE6" w:rsidRDefault="00D80AE6" w:rsidP="00E67CB0">
      <w:pPr>
        <w:autoSpaceDE w:val="0"/>
        <w:autoSpaceDN w:val="0"/>
        <w:adjustRightInd w:val="0"/>
        <w:jc w:val="both"/>
        <w:rPr>
          <w:bCs/>
          <w:sz w:val="28"/>
          <w:szCs w:val="28"/>
          <w:lang w:val="ro-RO"/>
        </w:rPr>
      </w:pPr>
    </w:p>
    <w:p w:rsidR="00D80AE6" w:rsidRDefault="00B35C49" w:rsidP="00E67CB0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 xml:space="preserve">În acelaşi timp, </w:t>
      </w:r>
      <w:r w:rsidR="00C45C15">
        <w:rPr>
          <w:bCs/>
          <w:sz w:val="28"/>
          <w:szCs w:val="28"/>
          <w:lang w:val="ro-RO"/>
        </w:rPr>
        <w:t xml:space="preserve">în pofida unei uşoare accelerări în ultimele luni, </w:t>
      </w:r>
      <w:r w:rsidR="00C45C15" w:rsidRPr="00AA3714">
        <w:rPr>
          <w:bCs/>
          <w:sz w:val="28"/>
          <w:szCs w:val="28"/>
          <w:lang w:val="ro-RO"/>
        </w:rPr>
        <w:t>creşterea în termeni anuali</w:t>
      </w:r>
      <w:r w:rsidR="008A0C31" w:rsidRPr="00AA3714">
        <w:rPr>
          <w:bCs/>
          <w:sz w:val="28"/>
          <w:szCs w:val="28"/>
          <w:lang w:val="ro-RO"/>
        </w:rPr>
        <w:t xml:space="preserve"> a</w:t>
      </w:r>
      <w:r w:rsidR="00C45C15">
        <w:rPr>
          <w:bCs/>
          <w:sz w:val="28"/>
          <w:szCs w:val="28"/>
          <w:lang w:val="ro-RO"/>
        </w:rPr>
        <w:t xml:space="preserve"> </w:t>
      </w:r>
      <w:r w:rsidR="00D80AE6" w:rsidRPr="003E5A2B">
        <w:rPr>
          <w:bCs/>
          <w:sz w:val="28"/>
          <w:szCs w:val="28"/>
          <w:lang w:val="ro-RO"/>
        </w:rPr>
        <w:t>creditului acordat sectorului privat</w:t>
      </w:r>
      <w:r w:rsidR="00D80AE6" w:rsidRPr="003E5A2B">
        <w:rPr>
          <w:lang w:val="ro-RO"/>
        </w:rPr>
        <w:t xml:space="preserve">, </w:t>
      </w:r>
      <w:r w:rsidR="00D80AE6" w:rsidRPr="003E5A2B">
        <w:rPr>
          <w:sz w:val="28"/>
          <w:szCs w:val="28"/>
          <w:lang w:val="ro-RO"/>
        </w:rPr>
        <w:t xml:space="preserve">în </w:t>
      </w:r>
      <w:r w:rsidR="00414663">
        <w:rPr>
          <w:sz w:val="28"/>
          <w:szCs w:val="28"/>
          <w:lang w:val="ro-RO"/>
        </w:rPr>
        <w:t xml:space="preserve">principal </w:t>
      </w:r>
      <w:r w:rsidR="00D80AE6" w:rsidRPr="003E5A2B">
        <w:rPr>
          <w:sz w:val="28"/>
          <w:szCs w:val="28"/>
          <w:lang w:val="ro-RO"/>
        </w:rPr>
        <w:t>a împrumuturilor în monedă naţională,</w:t>
      </w:r>
      <w:r w:rsidR="00D80AE6" w:rsidRPr="003E5A2B">
        <w:rPr>
          <w:bCs/>
          <w:sz w:val="28"/>
          <w:szCs w:val="28"/>
          <w:lang w:val="ro-RO"/>
        </w:rPr>
        <w:t xml:space="preserve"> rămâne </w:t>
      </w:r>
      <w:r w:rsidR="00414663">
        <w:rPr>
          <w:bCs/>
          <w:sz w:val="28"/>
          <w:szCs w:val="28"/>
          <w:lang w:val="ro-RO"/>
        </w:rPr>
        <w:t xml:space="preserve">relativ </w:t>
      </w:r>
      <w:r w:rsidR="00D80AE6" w:rsidRPr="003E5A2B">
        <w:rPr>
          <w:bCs/>
          <w:sz w:val="28"/>
          <w:szCs w:val="28"/>
          <w:lang w:val="ro-RO"/>
        </w:rPr>
        <w:t>modestă</w:t>
      </w:r>
      <w:r w:rsidR="00AD2306">
        <w:rPr>
          <w:bCs/>
          <w:sz w:val="28"/>
          <w:szCs w:val="28"/>
          <w:lang w:val="ro-RO"/>
        </w:rPr>
        <w:t xml:space="preserve">, inclusiv </w:t>
      </w:r>
      <w:r w:rsidR="003B75A1">
        <w:rPr>
          <w:bCs/>
          <w:sz w:val="28"/>
          <w:szCs w:val="28"/>
          <w:lang w:val="ro-RO"/>
        </w:rPr>
        <w:t xml:space="preserve">pe fondul accentuării </w:t>
      </w:r>
      <w:r w:rsidR="00AA3714">
        <w:rPr>
          <w:bCs/>
          <w:sz w:val="28"/>
          <w:szCs w:val="28"/>
          <w:lang w:val="ro-RO"/>
        </w:rPr>
        <w:t xml:space="preserve">percepţiilor </w:t>
      </w:r>
      <w:r w:rsidR="00FA3288">
        <w:rPr>
          <w:bCs/>
          <w:sz w:val="28"/>
          <w:szCs w:val="28"/>
          <w:lang w:val="ro-RO"/>
        </w:rPr>
        <w:t>de</w:t>
      </w:r>
      <w:r w:rsidR="00AA3714">
        <w:rPr>
          <w:bCs/>
          <w:sz w:val="28"/>
          <w:szCs w:val="28"/>
          <w:lang w:val="ro-RO"/>
        </w:rPr>
        <w:t xml:space="preserve"> </w:t>
      </w:r>
      <w:r w:rsidR="003B75A1">
        <w:rPr>
          <w:bCs/>
          <w:sz w:val="28"/>
          <w:szCs w:val="28"/>
          <w:lang w:val="ro-RO"/>
        </w:rPr>
        <w:t>risc legate de evoluţia sectorului bancar european</w:t>
      </w:r>
      <w:r w:rsidR="00D80AE6" w:rsidRPr="003E5A2B">
        <w:rPr>
          <w:bCs/>
          <w:sz w:val="28"/>
          <w:szCs w:val="28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</w:p>
    <w:p w:rsidR="00D80AE6" w:rsidRDefault="00D80AE6" w:rsidP="00E67CB0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FA3288" w:rsidRDefault="000143C8" w:rsidP="003E5A2B">
      <w:pPr>
        <w:pStyle w:val="NormalWeb"/>
        <w:jc w:val="both"/>
        <w:rPr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</w:t>
      </w:r>
      <w:r w:rsidR="00C45C15">
        <w:rPr>
          <w:sz w:val="28"/>
          <w:szCs w:val="28"/>
          <w:lang w:val="ro-RO"/>
        </w:rPr>
        <w:t xml:space="preserve"> condiţiile </w:t>
      </w:r>
      <w:r w:rsidR="0024188B" w:rsidRPr="003E5A2B">
        <w:rPr>
          <w:sz w:val="28"/>
          <w:szCs w:val="28"/>
          <w:lang w:val="ro-RO"/>
        </w:rPr>
        <w:t>menţiner</w:t>
      </w:r>
      <w:r w:rsidR="00C45C15">
        <w:rPr>
          <w:sz w:val="28"/>
          <w:szCs w:val="28"/>
          <w:lang w:val="ro-RO"/>
        </w:rPr>
        <w:t>ii</w:t>
      </w:r>
      <w:r w:rsidR="0024188B" w:rsidRPr="003E5A2B">
        <w:rPr>
          <w:sz w:val="28"/>
          <w:szCs w:val="28"/>
          <w:lang w:val="ro-RO"/>
        </w:rPr>
        <w:t xml:space="preserve"> incertitudinilor legate de evoluţiile mediului extern, ale fluxurilor de capital, ale preţurilor administrate, precum şi ale unor preţuri volatile</w:t>
      </w:r>
      <w:r w:rsidR="00BF1BA9">
        <w:rPr>
          <w:sz w:val="28"/>
          <w:szCs w:val="28"/>
          <w:lang w:val="ro-RO"/>
        </w:rPr>
        <w:t>,</w:t>
      </w:r>
      <w:r w:rsidR="00C45C15">
        <w:rPr>
          <w:sz w:val="28"/>
          <w:szCs w:val="28"/>
          <w:lang w:val="ro-RO"/>
        </w:rPr>
        <w:t xml:space="preserve"> </w:t>
      </w:r>
      <w:r w:rsidR="00AA3714" w:rsidRPr="00130CBE">
        <w:rPr>
          <w:sz w:val="28"/>
          <w:szCs w:val="28"/>
          <w:lang w:val="ro-RO"/>
        </w:rPr>
        <w:t>conduit</w:t>
      </w:r>
      <w:r w:rsidR="00FA3288" w:rsidRPr="00130CBE">
        <w:rPr>
          <w:sz w:val="28"/>
          <w:szCs w:val="28"/>
          <w:lang w:val="ro-RO"/>
        </w:rPr>
        <w:t>a</w:t>
      </w:r>
      <w:r w:rsidR="00AA3714" w:rsidRPr="00130CBE">
        <w:rPr>
          <w:sz w:val="28"/>
          <w:szCs w:val="28"/>
          <w:lang w:val="ro-RO"/>
        </w:rPr>
        <w:t xml:space="preserve"> prudent</w:t>
      </w:r>
      <w:r w:rsidR="00FA3288" w:rsidRPr="00130CBE">
        <w:rPr>
          <w:sz w:val="28"/>
          <w:szCs w:val="28"/>
          <w:lang w:val="ro-RO"/>
        </w:rPr>
        <w:t>ă</w:t>
      </w:r>
      <w:r w:rsidR="00AA3714" w:rsidRPr="00130CBE">
        <w:rPr>
          <w:sz w:val="28"/>
          <w:szCs w:val="28"/>
          <w:lang w:val="ro-RO"/>
        </w:rPr>
        <w:t xml:space="preserve"> a politicii monetare </w:t>
      </w:r>
      <w:r w:rsidR="00130CBE" w:rsidRPr="00130CBE">
        <w:rPr>
          <w:sz w:val="28"/>
          <w:szCs w:val="28"/>
          <w:lang w:val="ro-RO"/>
        </w:rPr>
        <w:t>va</w:t>
      </w:r>
      <w:r w:rsidR="00AA3714" w:rsidRPr="00130CBE">
        <w:rPr>
          <w:sz w:val="28"/>
          <w:szCs w:val="28"/>
          <w:lang w:val="ro-RO"/>
        </w:rPr>
        <w:t xml:space="preserve"> </w:t>
      </w:r>
      <w:r w:rsidR="00C45C15" w:rsidRPr="00130CBE">
        <w:rPr>
          <w:sz w:val="28"/>
          <w:szCs w:val="28"/>
          <w:lang w:val="ro-RO"/>
        </w:rPr>
        <w:t>consolida perspectivel</w:t>
      </w:r>
      <w:r w:rsidR="00AA3714" w:rsidRPr="00130CBE">
        <w:rPr>
          <w:sz w:val="28"/>
          <w:szCs w:val="28"/>
          <w:lang w:val="ro-RO"/>
        </w:rPr>
        <w:t>e</w:t>
      </w:r>
      <w:r w:rsidR="00C45C15" w:rsidRPr="00130CBE">
        <w:rPr>
          <w:sz w:val="28"/>
          <w:szCs w:val="28"/>
          <w:lang w:val="ro-RO"/>
        </w:rPr>
        <w:t xml:space="preserve"> favorabile convergenţei ratei inflaţiei la ţintele stabilite pe termen mediu</w:t>
      </w:r>
      <w:r w:rsidR="00AA3714" w:rsidRPr="00130CBE">
        <w:rPr>
          <w:sz w:val="28"/>
          <w:szCs w:val="28"/>
          <w:lang w:val="ro-RO"/>
        </w:rPr>
        <w:t xml:space="preserve"> </w:t>
      </w:r>
      <w:r w:rsidR="00FA3288" w:rsidRPr="00130CBE">
        <w:rPr>
          <w:sz w:val="28"/>
          <w:szCs w:val="28"/>
          <w:lang w:val="ro-RO"/>
        </w:rPr>
        <w:t xml:space="preserve">prin intermediul ancorării eficace a anticipaţiilor inflaţioniste, </w:t>
      </w:r>
      <w:r w:rsidR="00832C31">
        <w:rPr>
          <w:sz w:val="28"/>
          <w:szCs w:val="28"/>
          <w:lang w:val="ro-RO"/>
        </w:rPr>
        <w:t>stabilitatea preţurilor reprezentând o precondiţie a unei creşteri economice sustenabile şi de durată</w:t>
      </w:r>
      <w:r w:rsidR="00FA3288" w:rsidRPr="00130CBE">
        <w:rPr>
          <w:sz w:val="28"/>
          <w:szCs w:val="28"/>
          <w:lang w:val="ro-RO"/>
        </w:rPr>
        <w:t>.</w:t>
      </w:r>
    </w:p>
    <w:p w:rsidR="003B75A1" w:rsidRDefault="0024188B" w:rsidP="003E5A2B">
      <w:pPr>
        <w:pStyle w:val="NormalWeb"/>
        <w:jc w:val="both"/>
        <w:rPr>
          <w:sz w:val="28"/>
          <w:szCs w:val="28"/>
          <w:lang w:val="ro-RO"/>
        </w:rPr>
      </w:pPr>
      <w:r w:rsidRPr="003E5A2B">
        <w:rPr>
          <w:sz w:val="28"/>
          <w:szCs w:val="28"/>
          <w:lang w:val="ro-RO"/>
        </w:rPr>
        <w:t xml:space="preserve">În acest context, CA al BNR a decis </w:t>
      </w:r>
      <w:r w:rsidR="003B75A1">
        <w:rPr>
          <w:sz w:val="28"/>
          <w:szCs w:val="28"/>
          <w:lang w:val="ro-RO"/>
        </w:rPr>
        <w:t xml:space="preserve">reducerea </w:t>
      </w:r>
      <w:r w:rsidRPr="003E5A2B">
        <w:rPr>
          <w:sz w:val="28"/>
          <w:szCs w:val="28"/>
          <w:lang w:val="ro-RO"/>
        </w:rPr>
        <w:t xml:space="preserve">ratei dobânzii de politică monetară la nivelul de </w:t>
      </w:r>
      <w:r w:rsidR="00F85964">
        <w:rPr>
          <w:sz w:val="28"/>
          <w:szCs w:val="28"/>
          <w:lang w:val="ro-RO"/>
        </w:rPr>
        <w:t>5</w:t>
      </w:r>
      <w:r w:rsidR="003B75A1">
        <w:rPr>
          <w:sz w:val="28"/>
          <w:szCs w:val="28"/>
          <w:lang w:val="ro-RO"/>
        </w:rPr>
        <w:t>,</w:t>
      </w:r>
      <w:r w:rsidR="00F85964">
        <w:rPr>
          <w:sz w:val="28"/>
          <w:szCs w:val="28"/>
          <w:lang w:val="ro-RO"/>
        </w:rPr>
        <w:t>75</w:t>
      </w:r>
      <w:r w:rsidRPr="003E5A2B">
        <w:rPr>
          <w:sz w:val="28"/>
          <w:szCs w:val="28"/>
          <w:lang w:val="ro-RO"/>
        </w:rPr>
        <w:t xml:space="preserve"> la sută pe an</w:t>
      </w:r>
      <w:r w:rsidR="003B75A1">
        <w:rPr>
          <w:sz w:val="28"/>
          <w:szCs w:val="28"/>
          <w:lang w:val="ro-RO"/>
        </w:rPr>
        <w:t xml:space="preserve"> de la 6,00 la sută</w:t>
      </w:r>
      <w:r w:rsidRPr="003E5A2B">
        <w:rPr>
          <w:sz w:val="28"/>
          <w:szCs w:val="28"/>
          <w:lang w:val="ro-RO"/>
        </w:rPr>
        <w:t xml:space="preserve">. </w:t>
      </w:r>
      <w:r w:rsidR="003B75A1">
        <w:rPr>
          <w:sz w:val="28"/>
          <w:szCs w:val="28"/>
          <w:lang w:val="ro-RO"/>
        </w:rPr>
        <w:t>Astfel, începând cu data de 6 ianuarie 2012,</w:t>
      </w:r>
      <w:r w:rsidR="003B75A1" w:rsidRPr="003B75A1">
        <w:t xml:space="preserve"> </w:t>
      </w:r>
      <w:r w:rsidR="003B75A1" w:rsidRPr="003B75A1">
        <w:rPr>
          <w:sz w:val="28"/>
          <w:szCs w:val="28"/>
        </w:rPr>
        <w:t xml:space="preserve">rata </w:t>
      </w:r>
      <w:proofErr w:type="spellStart"/>
      <w:r w:rsidR="003B75A1" w:rsidRPr="003B75A1">
        <w:rPr>
          <w:sz w:val="28"/>
          <w:szCs w:val="28"/>
        </w:rPr>
        <w:t>dobânzii</w:t>
      </w:r>
      <w:proofErr w:type="spellEnd"/>
      <w:r w:rsidR="003B75A1" w:rsidRPr="003B75A1">
        <w:rPr>
          <w:sz w:val="28"/>
          <w:szCs w:val="28"/>
        </w:rPr>
        <w:t xml:space="preserve"> </w:t>
      </w:r>
      <w:proofErr w:type="spellStart"/>
      <w:r w:rsidR="003B75A1" w:rsidRPr="003B75A1">
        <w:rPr>
          <w:sz w:val="28"/>
          <w:szCs w:val="28"/>
        </w:rPr>
        <w:t>pentru</w:t>
      </w:r>
      <w:proofErr w:type="spellEnd"/>
      <w:r w:rsidR="003B75A1" w:rsidRPr="003B75A1">
        <w:rPr>
          <w:sz w:val="28"/>
          <w:szCs w:val="28"/>
        </w:rPr>
        <w:t xml:space="preserve"> </w:t>
      </w:r>
      <w:proofErr w:type="spellStart"/>
      <w:r w:rsidR="003B75A1" w:rsidRPr="003B75A1">
        <w:rPr>
          <w:sz w:val="28"/>
          <w:szCs w:val="28"/>
        </w:rPr>
        <w:t>facilitatea</w:t>
      </w:r>
      <w:proofErr w:type="spellEnd"/>
      <w:r w:rsidR="003B75A1" w:rsidRPr="003B75A1">
        <w:rPr>
          <w:sz w:val="28"/>
          <w:szCs w:val="28"/>
        </w:rPr>
        <w:t xml:space="preserve"> de </w:t>
      </w:r>
      <w:proofErr w:type="spellStart"/>
      <w:r w:rsidR="003B75A1" w:rsidRPr="003B75A1">
        <w:rPr>
          <w:sz w:val="28"/>
          <w:szCs w:val="28"/>
        </w:rPr>
        <w:t>depozit</w:t>
      </w:r>
      <w:proofErr w:type="spellEnd"/>
      <w:r w:rsidR="003B75A1" w:rsidRPr="003B75A1">
        <w:rPr>
          <w:sz w:val="28"/>
          <w:szCs w:val="28"/>
        </w:rPr>
        <w:t xml:space="preserve"> se reduce la </w:t>
      </w:r>
      <w:proofErr w:type="spellStart"/>
      <w:r w:rsidR="003B75A1" w:rsidRPr="003B75A1">
        <w:rPr>
          <w:sz w:val="28"/>
          <w:szCs w:val="28"/>
        </w:rPr>
        <w:t>nivelul</w:t>
      </w:r>
      <w:proofErr w:type="spellEnd"/>
      <w:r w:rsidR="003B75A1" w:rsidRPr="003B75A1">
        <w:rPr>
          <w:sz w:val="28"/>
          <w:szCs w:val="28"/>
        </w:rPr>
        <w:t xml:space="preserve"> de </w:t>
      </w:r>
      <w:r w:rsidR="00F85964">
        <w:rPr>
          <w:sz w:val="28"/>
          <w:szCs w:val="28"/>
        </w:rPr>
        <w:t>1</w:t>
      </w:r>
      <w:r w:rsidR="003B75A1" w:rsidRPr="003B75A1">
        <w:rPr>
          <w:sz w:val="28"/>
          <w:szCs w:val="28"/>
        </w:rPr>
        <w:t>,</w:t>
      </w:r>
      <w:r w:rsidR="00F85964">
        <w:rPr>
          <w:sz w:val="28"/>
          <w:szCs w:val="28"/>
        </w:rPr>
        <w:t>75</w:t>
      </w:r>
      <w:r w:rsidR="003B75A1" w:rsidRPr="003B75A1">
        <w:rPr>
          <w:sz w:val="28"/>
          <w:szCs w:val="28"/>
        </w:rPr>
        <w:t xml:space="preserve"> la </w:t>
      </w:r>
      <w:proofErr w:type="spellStart"/>
      <w:r w:rsidR="003B75A1" w:rsidRPr="003B75A1">
        <w:rPr>
          <w:sz w:val="28"/>
          <w:szCs w:val="28"/>
        </w:rPr>
        <w:t>sută</w:t>
      </w:r>
      <w:proofErr w:type="spellEnd"/>
      <w:r w:rsidR="003B75A1" w:rsidRPr="003B75A1">
        <w:rPr>
          <w:sz w:val="28"/>
          <w:szCs w:val="28"/>
        </w:rPr>
        <w:t xml:space="preserve"> de la 2,00 la </w:t>
      </w:r>
      <w:proofErr w:type="spellStart"/>
      <w:r w:rsidR="003B75A1" w:rsidRPr="003B75A1">
        <w:rPr>
          <w:sz w:val="28"/>
          <w:szCs w:val="28"/>
        </w:rPr>
        <w:t>sută</w:t>
      </w:r>
      <w:proofErr w:type="spellEnd"/>
      <w:r w:rsidR="003B75A1" w:rsidRPr="003B75A1">
        <w:rPr>
          <w:sz w:val="28"/>
          <w:szCs w:val="28"/>
        </w:rPr>
        <w:t xml:space="preserve">, </w:t>
      </w:r>
      <w:proofErr w:type="spellStart"/>
      <w:r w:rsidR="003B75A1" w:rsidRPr="003B75A1">
        <w:rPr>
          <w:sz w:val="28"/>
          <w:szCs w:val="28"/>
        </w:rPr>
        <w:t>iar</w:t>
      </w:r>
      <w:proofErr w:type="spellEnd"/>
      <w:r w:rsidR="003B75A1" w:rsidRPr="003B75A1">
        <w:rPr>
          <w:sz w:val="28"/>
          <w:szCs w:val="28"/>
        </w:rPr>
        <w:t xml:space="preserve"> rata </w:t>
      </w:r>
      <w:proofErr w:type="spellStart"/>
      <w:r w:rsidR="003B75A1" w:rsidRPr="003B75A1">
        <w:rPr>
          <w:sz w:val="28"/>
          <w:szCs w:val="28"/>
        </w:rPr>
        <w:t>dobânzii</w:t>
      </w:r>
      <w:proofErr w:type="spellEnd"/>
      <w:r w:rsidR="003B75A1" w:rsidRPr="003B75A1">
        <w:rPr>
          <w:sz w:val="28"/>
          <w:szCs w:val="28"/>
        </w:rPr>
        <w:t xml:space="preserve"> </w:t>
      </w:r>
      <w:proofErr w:type="spellStart"/>
      <w:r w:rsidR="003B75A1" w:rsidRPr="003B75A1">
        <w:rPr>
          <w:sz w:val="28"/>
          <w:szCs w:val="28"/>
        </w:rPr>
        <w:t>pentru</w:t>
      </w:r>
      <w:proofErr w:type="spellEnd"/>
      <w:r w:rsidR="003B75A1" w:rsidRPr="003B75A1">
        <w:rPr>
          <w:sz w:val="28"/>
          <w:szCs w:val="28"/>
        </w:rPr>
        <w:t xml:space="preserve"> </w:t>
      </w:r>
      <w:proofErr w:type="spellStart"/>
      <w:r w:rsidR="003B75A1" w:rsidRPr="003B75A1">
        <w:rPr>
          <w:sz w:val="28"/>
          <w:szCs w:val="28"/>
        </w:rPr>
        <w:t>facilitatea</w:t>
      </w:r>
      <w:proofErr w:type="spellEnd"/>
      <w:r w:rsidR="003B75A1" w:rsidRPr="003B75A1">
        <w:rPr>
          <w:sz w:val="28"/>
          <w:szCs w:val="28"/>
        </w:rPr>
        <w:t xml:space="preserve"> de </w:t>
      </w:r>
      <w:proofErr w:type="spellStart"/>
      <w:r w:rsidR="003B75A1" w:rsidRPr="003B75A1">
        <w:rPr>
          <w:sz w:val="28"/>
          <w:szCs w:val="28"/>
        </w:rPr>
        <w:t>creditare</w:t>
      </w:r>
      <w:proofErr w:type="spellEnd"/>
      <w:r w:rsidR="003B75A1" w:rsidRPr="003B75A1">
        <w:rPr>
          <w:sz w:val="28"/>
          <w:szCs w:val="28"/>
        </w:rPr>
        <w:t xml:space="preserve"> (Lombard) </w:t>
      </w:r>
      <w:proofErr w:type="spellStart"/>
      <w:r w:rsidR="003B75A1" w:rsidRPr="003B75A1">
        <w:rPr>
          <w:sz w:val="28"/>
          <w:szCs w:val="28"/>
        </w:rPr>
        <w:t>va</w:t>
      </w:r>
      <w:proofErr w:type="spellEnd"/>
      <w:r w:rsidR="003B75A1" w:rsidRPr="003B75A1">
        <w:rPr>
          <w:sz w:val="28"/>
          <w:szCs w:val="28"/>
        </w:rPr>
        <w:t xml:space="preserve"> </w:t>
      </w:r>
      <w:proofErr w:type="spellStart"/>
      <w:r w:rsidR="003B75A1" w:rsidRPr="003B75A1">
        <w:rPr>
          <w:sz w:val="28"/>
          <w:szCs w:val="28"/>
        </w:rPr>
        <w:t>fi</w:t>
      </w:r>
      <w:proofErr w:type="spellEnd"/>
      <w:r w:rsidR="003B75A1" w:rsidRPr="003B75A1">
        <w:rPr>
          <w:sz w:val="28"/>
          <w:szCs w:val="28"/>
        </w:rPr>
        <w:t xml:space="preserve"> de </w:t>
      </w:r>
      <w:r w:rsidR="00F85964">
        <w:rPr>
          <w:sz w:val="28"/>
          <w:szCs w:val="28"/>
        </w:rPr>
        <w:t>9</w:t>
      </w:r>
      <w:r w:rsidR="003B75A1" w:rsidRPr="003B75A1">
        <w:rPr>
          <w:sz w:val="28"/>
          <w:szCs w:val="28"/>
        </w:rPr>
        <w:t>,</w:t>
      </w:r>
      <w:r w:rsidR="00F85964">
        <w:rPr>
          <w:sz w:val="28"/>
          <w:szCs w:val="28"/>
        </w:rPr>
        <w:t>75</w:t>
      </w:r>
      <w:r w:rsidR="003B75A1" w:rsidRPr="003B75A1">
        <w:rPr>
          <w:sz w:val="28"/>
          <w:szCs w:val="28"/>
        </w:rPr>
        <w:t xml:space="preserve"> la </w:t>
      </w:r>
      <w:proofErr w:type="spellStart"/>
      <w:r w:rsidR="003B75A1" w:rsidRPr="003B75A1">
        <w:rPr>
          <w:sz w:val="28"/>
          <w:szCs w:val="28"/>
        </w:rPr>
        <w:t>sută</w:t>
      </w:r>
      <w:proofErr w:type="spellEnd"/>
      <w:r w:rsidR="003B75A1" w:rsidRPr="003B75A1">
        <w:rPr>
          <w:sz w:val="28"/>
          <w:szCs w:val="28"/>
        </w:rPr>
        <w:t xml:space="preserve"> </w:t>
      </w:r>
      <w:proofErr w:type="spellStart"/>
      <w:r w:rsidR="003B75A1" w:rsidRPr="003B75A1">
        <w:rPr>
          <w:sz w:val="28"/>
          <w:szCs w:val="28"/>
        </w:rPr>
        <w:t>pe</w:t>
      </w:r>
      <w:proofErr w:type="spellEnd"/>
      <w:r w:rsidR="003B75A1" w:rsidRPr="003B75A1">
        <w:rPr>
          <w:sz w:val="28"/>
          <w:szCs w:val="28"/>
        </w:rPr>
        <w:t xml:space="preserve"> an </w:t>
      </w:r>
      <w:proofErr w:type="spellStart"/>
      <w:r w:rsidR="003B75A1" w:rsidRPr="003B75A1">
        <w:rPr>
          <w:sz w:val="28"/>
          <w:szCs w:val="28"/>
        </w:rPr>
        <w:t>faţă</w:t>
      </w:r>
      <w:proofErr w:type="spellEnd"/>
      <w:r w:rsidR="003B75A1" w:rsidRPr="003B75A1">
        <w:rPr>
          <w:sz w:val="28"/>
          <w:szCs w:val="28"/>
        </w:rPr>
        <w:t xml:space="preserve"> de 10,00 la </w:t>
      </w:r>
      <w:proofErr w:type="spellStart"/>
      <w:r w:rsidR="003B75A1" w:rsidRPr="003B75A1">
        <w:rPr>
          <w:sz w:val="28"/>
          <w:szCs w:val="28"/>
        </w:rPr>
        <w:t>sută</w:t>
      </w:r>
      <w:proofErr w:type="spellEnd"/>
      <w:r w:rsidR="003B75A1" w:rsidRPr="003B75A1">
        <w:rPr>
          <w:sz w:val="28"/>
          <w:szCs w:val="28"/>
        </w:rPr>
        <w:t>.</w:t>
      </w:r>
      <w:r w:rsidR="003B75A1">
        <w:t xml:space="preserve"> </w:t>
      </w:r>
      <w:r w:rsidR="003B75A1">
        <w:rPr>
          <w:sz w:val="28"/>
          <w:szCs w:val="28"/>
          <w:lang w:val="ro-RO"/>
        </w:rPr>
        <w:t xml:space="preserve"> </w:t>
      </w:r>
    </w:p>
    <w:p w:rsidR="0024188B" w:rsidRDefault="0024188B" w:rsidP="003E5A2B">
      <w:pPr>
        <w:pStyle w:val="NormalWeb"/>
        <w:jc w:val="both"/>
        <w:rPr>
          <w:sz w:val="28"/>
          <w:szCs w:val="28"/>
          <w:lang w:val="ro-RO"/>
        </w:rPr>
      </w:pPr>
      <w:r w:rsidRPr="003E5A2B">
        <w:rPr>
          <w:sz w:val="28"/>
          <w:szCs w:val="28"/>
          <w:lang w:val="ro-RO"/>
        </w:rPr>
        <w:t>Totodată, CA al BNR a hotărât gestionarea adecvată a lichidităţii din sistemul bancar şi menţinerea nivelurilor actuale ale ratelor rezervelor minime obligatorii aplicabile pasivelor în lei şi, respectiv, în valută ale instituţiilor de credit.</w:t>
      </w:r>
    </w:p>
    <w:p w:rsidR="00FA3288" w:rsidRPr="009150FA" w:rsidRDefault="00FA3288" w:rsidP="00FA3288">
      <w:pPr>
        <w:pStyle w:val="NormalWeb"/>
        <w:jc w:val="both"/>
        <w:rPr>
          <w:sz w:val="28"/>
          <w:szCs w:val="28"/>
          <w:lang w:val="ro-RO"/>
        </w:rPr>
      </w:pPr>
      <w:r w:rsidRPr="009150FA">
        <w:rPr>
          <w:sz w:val="28"/>
          <w:szCs w:val="28"/>
          <w:lang w:val="ro-RO"/>
        </w:rPr>
        <w:t xml:space="preserve">CA al BNR reiterează de asemenea că ajustarea graduală a condiţiilor monetare este de natură să contribuie </w:t>
      </w:r>
      <w:r w:rsidR="00130CBE">
        <w:rPr>
          <w:sz w:val="28"/>
          <w:szCs w:val="28"/>
          <w:lang w:val="ro-RO"/>
        </w:rPr>
        <w:t xml:space="preserve">nu numai </w:t>
      </w:r>
      <w:r w:rsidRPr="009150FA">
        <w:rPr>
          <w:sz w:val="28"/>
          <w:szCs w:val="28"/>
          <w:lang w:val="ro-RO"/>
        </w:rPr>
        <w:t>la reluarea unei creşteri economice sănătoase</w:t>
      </w:r>
      <w:r w:rsidR="00130CBE">
        <w:rPr>
          <w:sz w:val="28"/>
          <w:szCs w:val="28"/>
          <w:lang w:val="ro-RO"/>
        </w:rPr>
        <w:t xml:space="preserve">, dar şi la </w:t>
      </w:r>
      <w:r w:rsidRPr="009150FA">
        <w:rPr>
          <w:sz w:val="28"/>
          <w:szCs w:val="28"/>
          <w:lang w:val="ro-RO"/>
        </w:rPr>
        <w:t>stimularea economisirii interne, inclusiv pentru</w:t>
      </w:r>
      <w:r w:rsidR="00130CBE">
        <w:rPr>
          <w:sz w:val="28"/>
          <w:szCs w:val="28"/>
          <w:lang w:val="ro-RO"/>
        </w:rPr>
        <w:t xml:space="preserve"> a </w:t>
      </w:r>
      <w:r w:rsidR="00130CBE" w:rsidRPr="00832C31">
        <w:rPr>
          <w:sz w:val="28"/>
          <w:szCs w:val="28"/>
          <w:lang w:val="ro-RO"/>
        </w:rPr>
        <w:t xml:space="preserve">sprijini </w:t>
      </w:r>
      <w:proofErr w:type="spellStart"/>
      <w:r w:rsidRPr="00832C31">
        <w:rPr>
          <w:sz w:val="28"/>
          <w:szCs w:val="28"/>
          <w:lang w:val="ro-RO"/>
        </w:rPr>
        <w:t>sustenabilitatea</w:t>
      </w:r>
      <w:proofErr w:type="spellEnd"/>
      <w:r w:rsidRPr="00832C31">
        <w:rPr>
          <w:sz w:val="28"/>
          <w:szCs w:val="28"/>
          <w:lang w:val="ro-RO"/>
        </w:rPr>
        <w:t xml:space="preserve"> deficitului extern</w:t>
      </w:r>
      <w:r w:rsidR="00130CBE" w:rsidRPr="00832C31">
        <w:rPr>
          <w:sz w:val="28"/>
          <w:szCs w:val="28"/>
          <w:lang w:val="ro-RO"/>
        </w:rPr>
        <w:t xml:space="preserve"> </w:t>
      </w:r>
      <w:r w:rsidR="00130CBE">
        <w:rPr>
          <w:sz w:val="28"/>
          <w:szCs w:val="28"/>
          <w:lang w:val="ro-RO"/>
        </w:rPr>
        <w:t xml:space="preserve">şi a </w:t>
      </w:r>
      <w:r w:rsidRPr="009150FA">
        <w:rPr>
          <w:sz w:val="28"/>
          <w:szCs w:val="28"/>
          <w:lang w:val="ro-RO"/>
        </w:rPr>
        <w:t>reduce dependenţ</w:t>
      </w:r>
      <w:r w:rsidR="00130CBE">
        <w:rPr>
          <w:sz w:val="28"/>
          <w:szCs w:val="28"/>
          <w:lang w:val="ro-RO"/>
        </w:rPr>
        <w:t>a</w:t>
      </w:r>
      <w:r w:rsidRPr="009150FA">
        <w:rPr>
          <w:sz w:val="28"/>
          <w:szCs w:val="28"/>
          <w:lang w:val="ro-RO"/>
        </w:rPr>
        <w:t xml:space="preserve"> de finanţările externe.</w:t>
      </w:r>
    </w:p>
    <w:p w:rsidR="00AD2306" w:rsidRDefault="0024188B" w:rsidP="00AD2306">
      <w:pPr>
        <w:pStyle w:val="NormalWeb"/>
        <w:jc w:val="both"/>
        <w:rPr>
          <w:sz w:val="28"/>
          <w:szCs w:val="28"/>
          <w:lang w:val="ro-RO"/>
        </w:rPr>
      </w:pPr>
      <w:r w:rsidRPr="003E5A2B">
        <w:rPr>
          <w:sz w:val="28"/>
          <w:szCs w:val="28"/>
          <w:lang w:val="ro-RO"/>
        </w:rPr>
        <w:t xml:space="preserve">BNR va continua să monitorizeze atent evoluţiile interne şi ale mediului economic global, astfel încât, prin adecvarea </w:t>
      </w:r>
      <w:r w:rsidR="00AD2306">
        <w:rPr>
          <w:sz w:val="28"/>
          <w:szCs w:val="28"/>
          <w:lang w:val="ro-RO"/>
        </w:rPr>
        <w:t xml:space="preserve">corespunzătoare a </w:t>
      </w:r>
      <w:r w:rsidRPr="003E5A2B">
        <w:rPr>
          <w:sz w:val="28"/>
          <w:szCs w:val="28"/>
          <w:lang w:val="ro-RO"/>
        </w:rPr>
        <w:t>instrumentelor sale, să asigure atingerea obiectivelor de stabilitate a preţurilor şi de stabilitate financiară,</w:t>
      </w:r>
      <w:r w:rsidR="00BE4B3B">
        <w:rPr>
          <w:sz w:val="28"/>
          <w:szCs w:val="28"/>
          <w:lang w:val="ro-RO"/>
        </w:rPr>
        <w:t xml:space="preserve"> şi</w:t>
      </w:r>
      <w:r w:rsidR="005C5A17">
        <w:rPr>
          <w:sz w:val="28"/>
          <w:szCs w:val="28"/>
          <w:lang w:val="ro-RO"/>
        </w:rPr>
        <w:t>,</w:t>
      </w:r>
      <w:r w:rsidR="00BE4B3B">
        <w:rPr>
          <w:sz w:val="28"/>
          <w:szCs w:val="28"/>
          <w:lang w:val="ro-RO"/>
        </w:rPr>
        <w:t xml:space="preserve"> pe această bază</w:t>
      </w:r>
      <w:r w:rsidR="005C5A17">
        <w:rPr>
          <w:sz w:val="28"/>
          <w:szCs w:val="28"/>
          <w:lang w:val="ro-RO"/>
        </w:rPr>
        <w:t>,</w:t>
      </w:r>
      <w:r w:rsidR="00BE4B3B">
        <w:rPr>
          <w:sz w:val="28"/>
          <w:szCs w:val="28"/>
          <w:lang w:val="ro-RO"/>
        </w:rPr>
        <w:t xml:space="preserve"> o creştere economică de durată, </w:t>
      </w:r>
      <w:r w:rsidRPr="003E5A2B">
        <w:rPr>
          <w:sz w:val="28"/>
          <w:szCs w:val="28"/>
          <w:lang w:val="ro-RO"/>
        </w:rPr>
        <w:t>în contextul realizării angajamentelor stabilite în acordurile cu Uniunea Europeană, Fondul Monetar Internaţional şi alte instituţii financiare internaţionale.</w:t>
      </w:r>
    </w:p>
    <w:p w:rsidR="0024188B" w:rsidRDefault="0024188B" w:rsidP="003E5A2B">
      <w:pPr>
        <w:pStyle w:val="NormalWeb"/>
        <w:pBdr>
          <w:bottom w:val="single" w:sz="6" w:space="1" w:color="auto"/>
        </w:pBdr>
        <w:jc w:val="both"/>
        <w:rPr>
          <w:sz w:val="28"/>
          <w:szCs w:val="28"/>
          <w:lang w:val="ro-RO"/>
        </w:rPr>
      </w:pPr>
      <w:r w:rsidRPr="003E5A2B">
        <w:rPr>
          <w:sz w:val="28"/>
          <w:szCs w:val="28"/>
          <w:lang w:val="ro-RO"/>
        </w:rPr>
        <w:t xml:space="preserve">Potrivit calendarului anunţat, următoarea şedinţă a CA al BNR dedicată politicii monetare va avea loc în data de </w:t>
      </w:r>
      <w:r w:rsidR="000143C8">
        <w:rPr>
          <w:sz w:val="28"/>
          <w:szCs w:val="28"/>
          <w:lang w:val="ro-RO"/>
        </w:rPr>
        <w:t>2</w:t>
      </w:r>
      <w:r w:rsidR="00385288" w:rsidRPr="003E5A2B">
        <w:rPr>
          <w:sz w:val="28"/>
          <w:szCs w:val="28"/>
          <w:lang w:val="ro-RO"/>
        </w:rPr>
        <w:t xml:space="preserve"> </w:t>
      </w:r>
      <w:r w:rsidR="000143C8">
        <w:rPr>
          <w:sz w:val="28"/>
          <w:szCs w:val="28"/>
          <w:lang w:val="ro-RO"/>
        </w:rPr>
        <w:t>februarie</w:t>
      </w:r>
      <w:r w:rsidR="00385288" w:rsidRPr="003E5A2B">
        <w:rPr>
          <w:sz w:val="28"/>
          <w:szCs w:val="28"/>
          <w:lang w:val="ro-RO"/>
        </w:rPr>
        <w:t xml:space="preserve"> </w:t>
      </w:r>
      <w:r w:rsidRPr="003E5A2B">
        <w:rPr>
          <w:sz w:val="28"/>
          <w:szCs w:val="28"/>
          <w:lang w:val="ro-RO"/>
        </w:rPr>
        <w:t>201</w:t>
      </w:r>
      <w:r w:rsidR="000143C8">
        <w:rPr>
          <w:sz w:val="28"/>
          <w:szCs w:val="28"/>
          <w:lang w:val="ro-RO"/>
        </w:rPr>
        <w:t>2</w:t>
      </w:r>
      <w:r w:rsidRPr="003E5A2B">
        <w:rPr>
          <w:sz w:val="28"/>
          <w:szCs w:val="28"/>
          <w:lang w:val="ro-RO"/>
        </w:rPr>
        <w:t>, când va fi analizat noul Raport trimestrial asupra inflaţiei.</w:t>
      </w:r>
    </w:p>
    <w:p w:rsidR="001F537E" w:rsidRPr="003E5A2B" w:rsidRDefault="001F537E" w:rsidP="003E5A2B">
      <w:pPr>
        <w:pStyle w:val="NormalWeb"/>
        <w:jc w:val="both"/>
        <w:rPr>
          <w:sz w:val="28"/>
          <w:szCs w:val="28"/>
          <w:lang w:val="ro-RO"/>
        </w:rPr>
      </w:pPr>
    </w:p>
    <w:sectPr w:rsidR="001F537E" w:rsidRPr="003E5A2B" w:rsidSect="00696333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1C1"/>
    <w:multiLevelType w:val="multilevel"/>
    <w:tmpl w:val="113C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C1C3B"/>
    <w:multiLevelType w:val="hybridMultilevel"/>
    <w:tmpl w:val="50AC26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30A1C"/>
    <w:rsid w:val="000143C8"/>
    <w:rsid w:val="000166C3"/>
    <w:rsid w:val="00017AB7"/>
    <w:rsid w:val="00017B59"/>
    <w:rsid w:val="000243B9"/>
    <w:rsid w:val="0004455C"/>
    <w:rsid w:val="00045230"/>
    <w:rsid w:val="00052EA6"/>
    <w:rsid w:val="000611FB"/>
    <w:rsid w:val="00072073"/>
    <w:rsid w:val="00080A06"/>
    <w:rsid w:val="00097437"/>
    <w:rsid w:val="000B395F"/>
    <w:rsid w:val="000D5898"/>
    <w:rsid w:val="000E574B"/>
    <w:rsid w:val="000E5ACE"/>
    <w:rsid w:val="000F7001"/>
    <w:rsid w:val="0010167E"/>
    <w:rsid w:val="001056E3"/>
    <w:rsid w:val="00120BFB"/>
    <w:rsid w:val="001239F1"/>
    <w:rsid w:val="00130CBE"/>
    <w:rsid w:val="00134216"/>
    <w:rsid w:val="00152E47"/>
    <w:rsid w:val="00161FBB"/>
    <w:rsid w:val="001631B2"/>
    <w:rsid w:val="0017377F"/>
    <w:rsid w:val="00184163"/>
    <w:rsid w:val="00187597"/>
    <w:rsid w:val="001976A7"/>
    <w:rsid w:val="001A1D13"/>
    <w:rsid w:val="001A47FD"/>
    <w:rsid w:val="001A744B"/>
    <w:rsid w:val="001B3687"/>
    <w:rsid w:val="001B4132"/>
    <w:rsid w:val="001C2107"/>
    <w:rsid w:val="001C41EF"/>
    <w:rsid w:val="001C46A2"/>
    <w:rsid w:val="001D20A9"/>
    <w:rsid w:val="001D6C2E"/>
    <w:rsid w:val="001E0E5F"/>
    <w:rsid w:val="001E2A1F"/>
    <w:rsid w:val="001F0398"/>
    <w:rsid w:val="001F0F97"/>
    <w:rsid w:val="001F537E"/>
    <w:rsid w:val="001F541D"/>
    <w:rsid w:val="00215757"/>
    <w:rsid w:val="00233F82"/>
    <w:rsid w:val="0024188B"/>
    <w:rsid w:val="00246F35"/>
    <w:rsid w:val="00250C79"/>
    <w:rsid w:val="00251E9B"/>
    <w:rsid w:val="00253E0D"/>
    <w:rsid w:val="002668A1"/>
    <w:rsid w:val="00267070"/>
    <w:rsid w:val="00274ACD"/>
    <w:rsid w:val="002A4239"/>
    <w:rsid w:val="002A570A"/>
    <w:rsid w:val="002B6611"/>
    <w:rsid w:val="002D7F16"/>
    <w:rsid w:val="002E45E7"/>
    <w:rsid w:val="003065E2"/>
    <w:rsid w:val="00312C08"/>
    <w:rsid w:val="00316630"/>
    <w:rsid w:val="00320ECE"/>
    <w:rsid w:val="00335E19"/>
    <w:rsid w:val="00351D8B"/>
    <w:rsid w:val="003665DF"/>
    <w:rsid w:val="00385288"/>
    <w:rsid w:val="00391408"/>
    <w:rsid w:val="003A2C92"/>
    <w:rsid w:val="003A3AE4"/>
    <w:rsid w:val="003A412F"/>
    <w:rsid w:val="003A7274"/>
    <w:rsid w:val="003B488E"/>
    <w:rsid w:val="003B75A1"/>
    <w:rsid w:val="003E0036"/>
    <w:rsid w:val="003E03DC"/>
    <w:rsid w:val="003E5A2B"/>
    <w:rsid w:val="003F0D73"/>
    <w:rsid w:val="003F3DFD"/>
    <w:rsid w:val="0040049B"/>
    <w:rsid w:val="00410F89"/>
    <w:rsid w:val="00414663"/>
    <w:rsid w:val="00414CF0"/>
    <w:rsid w:val="00421CC1"/>
    <w:rsid w:val="0043744D"/>
    <w:rsid w:val="0044558F"/>
    <w:rsid w:val="00461D4C"/>
    <w:rsid w:val="0047060B"/>
    <w:rsid w:val="0047091E"/>
    <w:rsid w:val="00481424"/>
    <w:rsid w:val="004909E5"/>
    <w:rsid w:val="004A3F7F"/>
    <w:rsid w:val="004C3169"/>
    <w:rsid w:val="004D204C"/>
    <w:rsid w:val="004E1F3E"/>
    <w:rsid w:val="004E4211"/>
    <w:rsid w:val="005110C3"/>
    <w:rsid w:val="00515436"/>
    <w:rsid w:val="005247C8"/>
    <w:rsid w:val="00530A1C"/>
    <w:rsid w:val="00536591"/>
    <w:rsid w:val="00536D8A"/>
    <w:rsid w:val="00561088"/>
    <w:rsid w:val="005623A2"/>
    <w:rsid w:val="005728B6"/>
    <w:rsid w:val="00582E2F"/>
    <w:rsid w:val="00594A7B"/>
    <w:rsid w:val="005960E4"/>
    <w:rsid w:val="005A0BAD"/>
    <w:rsid w:val="005A2D33"/>
    <w:rsid w:val="005B2C53"/>
    <w:rsid w:val="005B611B"/>
    <w:rsid w:val="005C5A17"/>
    <w:rsid w:val="005E0B5D"/>
    <w:rsid w:val="005E1156"/>
    <w:rsid w:val="005F41CF"/>
    <w:rsid w:val="006237AF"/>
    <w:rsid w:val="006301A7"/>
    <w:rsid w:val="00696333"/>
    <w:rsid w:val="006C04D2"/>
    <w:rsid w:val="006D69C4"/>
    <w:rsid w:val="006E7351"/>
    <w:rsid w:val="006F07C4"/>
    <w:rsid w:val="00701253"/>
    <w:rsid w:val="00725DBE"/>
    <w:rsid w:val="00737F58"/>
    <w:rsid w:val="00742981"/>
    <w:rsid w:val="0075034D"/>
    <w:rsid w:val="00755E16"/>
    <w:rsid w:val="00756E53"/>
    <w:rsid w:val="00767F19"/>
    <w:rsid w:val="0077316F"/>
    <w:rsid w:val="00774DD2"/>
    <w:rsid w:val="00784E5F"/>
    <w:rsid w:val="0078694B"/>
    <w:rsid w:val="007A5F07"/>
    <w:rsid w:val="007B1F51"/>
    <w:rsid w:val="007B348A"/>
    <w:rsid w:val="007B65C1"/>
    <w:rsid w:val="007C7262"/>
    <w:rsid w:val="007D1498"/>
    <w:rsid w:val="007D45DF"/>
    <w:rsid w:val="007D70F7"/>
    <w:rsid w:val="007F6D44"/>
    <w:rsid w:val="0080252B"/>
    <w:rsid w:val="00821C01"/>
    <w:rsid w:val="00822134"/>
    <w:rsid w:val="00830956"/>
    <w:rsid w:val="00831FD1"/>
    <w:rsid w:val="00832C31"/>
    <w:rsid w:val="0084226A"/>
    <w:rsid w:val="00843274"/>
    <w:rsid w:val="00847EB3"/>
    <w:rsid w:val="00850107"/>
    <w:rsid w:val="008518EA"/>
    <w:rsid w:val="00852F2A"/>
    <w:rsid w:val="0089207D"/>
    <w:rsid w:val="008A0C31"/>
    <w:rsid w:val="008A3B7D"/>
    <w:rsid w:val="008F03AA"/>
    <w:rsid w:val="009072AB"/>
    <w:rsid w:val="00924931"/>
    <w:rsid w:val="00926DF7"/>
    <w:rsid w:val="00980E84"/>
    <w:rsid w:val="009923E2"/>
    <w:rsid w:val="009B502A"/>
    <w:rsid w:val="009C41F6"/>
    <w:rsid w:val="009D4CF6"/>
    <w:rsid w:val="009E22E4"/>
    <w:rsid w:val="00A0017E"/>
    <w:rsid w:val="00A0712F"/>
    <w:rsid w:val="00A5432D"/>
    <w:rsid w:val="00A73D88"/>
    <w:rsid w:val="00AA163D"/>
    <w:rsid w:val="00AA3714"/>
    <w:rsid w:val="00AC54A4"/>
    <w:rsid w:val="00AD2306"/>
    <w:rsid w:val="00AD30BA"/>
    <w:rsid w:val="00AD3F2E"/>
    <w:rsid w:val="00AD7BB3"/>
    <w:rsid w:val="00B1325D"/>
    <w:rsid w:val="00B238F5"/>
    <w:rsid w:val="00B33166"/>
    <w:rsid w:val="00B35C49"/>
    <w:rsid w:val="00B37F52"/>
    <w:rsid w:val="00B45345"/>
    <w:rsid w:val="00B57E89"/>
    <w:rsid w:val="00B648D3"/>
    <w:rsid w:val="00B70B33"/>
    <w:rsid w:val="00B930C4"/>
    <w:rsid w:val="00B9323D"/>
    <w:rsid w:val="00BB5429"/>
    <w:rsid w:val="00BC10BB"/>
    <w:rsid w:val="00BE4B3B"/>
    <w:rsid w:val="00BE6312"/>
    <w:rsid w:val="00BE7DA7"/>
    <w:rsid w:val="00BF1BA9"/>
    <w:rsid w:val="00C02168"/>
    <w:rsid w:val="00C05147"/>
    <w:rsid w:val="00C135AE"/>
    <w:rsid w:val="00C45C15"/>
    <w:rsid w:val="00C47E7A"/>
    <w:rsid w:val="00C575AD"/>
    <w:rsid w:val="00C9215B"/>
    <w:rsid w:val="00CB19FB"/>
    <w:rsid w:val="00CB51ED"/>
    <w:rsid w:val="00CD29C5"/>
    <w:rsid w:val="00CD7DA9"/>
    <w:rsid w:val="00CE7B21"/>
    <w:rsid w:val="00D12282"/>
    <w:rsid w:val="00D13DEF"/>
    <w:rsid w:val="00D241FF"/>
    <w:rsid w:val="00D269BE"/>
    <w:rsid w:val="00D80AE6"/>
    <w:rsid w:val="00D93825"/>
    <w:rsid w:val="00DA6571"/>
    <w:rsid w:val="00DA657C"/>
    <w:rsid w:val="00DB62D2"/>
    <w:rsid w:val="00DC5136"/>
    <w:rsid w:val="00DD3DB9"/>
    <w:rsid w:val="00DF6B78"/>
    <w:rsid w:val="00E23DAE"/>
    <w:rsid w:val="00E350FE"/>
    <w:rsid w:val="00E42EBE"/>
    <w:rsid w:val="00E63173"/>
    <w:rsid w:val="00E67CB0"/>
    <w:rsid w:val="00E74C46"/>
    <w:rsid w:val="00E80731"/>
    <w:rsid w:val="00E92E9D"/>
    <w:rsid w:val="00EB3688"/>
    <w:rsid w:val="00F014BF"/>
    <w:rsid w:val="00F01A80"/>
    <w:rsid w:val="00F303CE"/>
    <w:rsid w:val="00F30B34"/>
    <w:rsid w:val="00F44F39"/>
    <w:rsid w:val="00F44F6E"/>
    <w:rsid w:val="00F568EB"/>
    <w:rsid w:val="00F602E5"/>
    <w:rsid w:val="00F72395"/>
    <w:rsid w:val="00F767E8"/>
    <w:rsid w:val="00F76EE6"/>
    <w:rsid w:val="00F85860"/>
    <w:rsid w:val="00F85964"/>
    <w:rsid w:val="00F860F4"/>
    <w:rsid w:val="00F86905"/>
    <w:rsid w:val="00F96503"/>
    <w:rsid w:val="00FA3288"/>
    <w:rsid w:val="00FA465E"/>
    <w:rsid w:val="00FB033A"/>
    <w:rsid w:val="00FB4528"/>
    <w:rsid w:val="00FC63F1"/>
    <w:rsid w:val="00F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A1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860F4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F860F4"/>
    <w:pPr>
      <w:ind w:left="720"/>
      <w:contextualSpacing/>
    </w:pPr>
  </w:style>
  <w:style w:type="character" w:styleId="Hyperlink">
    <w:name w:val="Hyperlink"/>
    <w:basedOn w:val="DefaultParagraphFont"/>
    <w:rsid w:val="004814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F0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E7B2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nr.ro/page.aspx?prid=39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C36B-EDDF-40BE-A387-38067574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COMUNICAT DE PRESĂ</vt:lpstr>
    </vt:vector>
  </TitlesOfParts>
  <Company>Banca Nationala a Romaniei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 DE PRESĂ</dc:title>
  <dc:subject/>
  <dc:creator>BNR</dc:creator>
  <cp:keywords/>
  <dc:description/>
  <cp:lastModifiedBy>BNR</cp:lastModifiedBy>
  <cp:revision>2</cp:revision>
  <cp:lastPrinted>2012-01-05T11:39:00Z</cp:lastPrinted>
  <dcterms:created xsi:type="dcterms:W3CDTF">2012-01-05T12:04:00Z</dcterms:created>
  <dcterms:modified xsi:type="dcterms:W3CDTF">2012-01-05T12:04:00Z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-415312280</vt:i4>
  </property>
</Properties>
</file>