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B8E9" w14:textId="77777777" w:rsidR="007A5D29" w:rsidRPr="00AA1075" w:rsidRDefault="00F452C4" w:rsidP="000A2AF0">
      <w:pPr>
        <w:spacing w:after="12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2CE8096" wp14:editId="0727D622">
            <wp:simplePos x="0" y="0"/>
            <wp:positionH relativeFrom="column">
              <wp:posOffset>-242570</wp:posOffset>
            </wp:positionH>
            <wp:positionV relativeFrom="paragraph">
              <wp:posOffset>-522605</wp:posOffset>
            </wp:positionV>
            <wp:extent cx="1678940" cy="961390"/>
            <wp:effectExtent l="19050" t="0" r="0" b="0"/>
            <wp:wrapNone/>
            <wp:docPr id="2" name="Picture 1" descr="D:\USER\Documents\proiecte-EFOR\0.EFOR\exp. foru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proiecte-EFOR\0.EFOR\exp. forum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A0A28E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1E88E83F" w14:textId="57F9407B" w:rsidR="00187A51" w:rsidRPr="00AA1075" w:rsidRDefault="002229BC" w:rsidP="000A2AF0">
      <w:pPr>
        <w:spacing w:after="120"/>
        <w:ind w:left="-216"/>
        <w:rPr>
          <w:rFonts w:ascii="Verdana" w:hAnsi="Verdana" w:cs="Tahoma"/>
          <w:b/>
          <w:i/>
          <w:color w:val="002060"/>
          <w:sz w:val="20"/>
          <w:szCs w:val="20"/>
        </w:rPr>
      </w:pPr>
      <w:r w:rsidRPr="00AA1075">
        <w:rPr>
          <w:rFonts w:ascii="Verdana" w:hAnsi="Verdana"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E8F73" wp14:editId="2F0E0FC9">
                <wp:simplePos x="0" y="0"/>
                <wp:positionH relativeFrom="column">
                  <wp:posOffset>-133077</wp:posOffset>
                </wp:positionH>
                <wp:positionV relativeFrom="paragraph">
                  <wp:posOffset>167640</wp:posOffset>
                </wp:positionV>
                <wp:extent cx="6036734" cy="38481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734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E35D5" w14:textId="77777777" w:rsidR="009C5E71" w:rsidRPr="00FA2B4F" w:rsidRDefault="009C5E71" w:rsidP="00AD454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ind w:right="576"/>
                              <w:rPr>
                                <w:rFonts w:ascii="Verdana" w:hAnsi="Verdana"/>
                                <w:b/>
                                <w:color w:val="17365D" w:themeColor="text2" w:themeShade="BF"/>
                              </w:rPr>
                            </w:pPr>
                          </w:p>
                          <w:p w14:paraId="6AC24DFD" w14:textId="17BD7DAF" w:rsidR="009C5E71" w:rsidRDefault="00700A18" w:rsidP="00C772D5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40"/>
                              <w:ind w:right="578"/>
                              <w:rPr>
                                <w:rFonts w:ascii="Verdana" w:hAnsi="Verdana" w:cs="Tahoma"/>
                                <w:b/>
                                <w:bCs/>
                                <w:color w:val="00206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Există </w:t>
                            </w:r>
                            <w:r w:rsidR="0015320D">
                              <w:rPr>
                                <w:rFonts w:ascii="Verdana" w:hAnsi="Verdan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un scepticism popular privind eficienţa condamnărilor atâta vreme cât marile averi clădite pe infracţiune p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ar</w:t>
                            </w:r>
                            <w:r w:rsidR="0015320D">
                              <w:rPr>
                                <w:rFonts w:ascii="Verdana" w:hAnsi="Verdana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a fi de neatins.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Dar s</w:t>
                            </w:r>
                            <w:r w:rsidR="0015320D">
                              <w:rPr>
                                <w:rFonts w:ascii="Verdana" w:hAnsi="Verdan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ituaţia a început să se schimbe iar confiscarea să fie mai eficientă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, deşi</w:t>
                            </w:r>
                            <w:r w:rsidR="0015320D">
                              <w:rPr>
                                <w:rFonts w:ascii="Verdana" w:hAnsi="Verdana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mai sunt multe de făcut</w:t>
                            </w:r>
                            <w:r w:rsidR="00787C78">
                              <w:rPr>
                                <w:rFonts w:ascii="Verdana" w:hAnsi="Verdan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,</w:t>
                            </w:r>
                            <w:r w:rsidR="00742FF9">
                              <w:rPr>
                                <w:rFonts w:ascii="Verdana" w:hAnsi="Verdana"/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7C78">
                              <w:rPr>
                                <w:rFonts w:ascii="Verdana" w:hAnsi="Verdan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explic</w:t>
                            </w:r>
                            <w:r w:rsidR="00C772D5" w:rsidRPr="00F73196">
                              <w:rPr>
                                <w:rFonts w:ascii="Verdana" w:hAnsi="Verdana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ă </w:t>
                            </w:r>
                            <w:r w:rsidR="009C5E71" w:rsidRPr="00F73196">
                              <w:rPr>
                                <w:rFonts w:ascii="Verdana" w:hAnsi="Verdana"/>
                                <w:b/>
                                <w:color w:val="C00000"/>
                                <w:sz w:val="26"/>
                                <w:szCs w:val="26"/>
                              </w:rPr>
                              <w:t>EFOR</w:t>
                            </w:r>
                          </w:p>
                          <w:p w14:paraId="2A1D80C3" w14:textId="77777777" w:rsidR="001E734B" w:rsidRDefault="001E734B" w:rsidP="0032215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ind w:right="-43"/>
                              <w:rPr>
                                <w:rFonts w:ascii="Verdana" w:hAnsi="Verdana" w:cs="Tahoma"/>
                                <w:b/>
                                <w:bCs/>
                                <w:color w:val="002060"/>
                                <w:sz w:val="68"/>
                                <w:szCs w:val="68"/>
                              </w:rPr>
                            </w:pPr>
                          </w:p>
                          <w:p w14:paraId="3B36CD89" w14:textId="62F5DF09" w:rsidR="009C5E71" w:rsidRPr="00FB41A7" w:rsidRDefault="00E176C2" w:rsidP="0032215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ind w:right="-43"/>
                              <w:rPr>
                                <w:rFonts w:ascii="Verdana" w:hAnsi="Verdana" w:cs="Tahoma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14:shadow w14:blurRad="50800" w14:dist="76200" w14:dir="2220000" w14:sx="100000" w14:sy="100000" w14:kx="0" w14:ky="0" w14:algn="tl">
                                  <w14:schemeClr w14:val="bg1">
                                    <w14:alpha w14:val="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14:shadow w14:blurRad="50800" w14:dist="76200" w14:dir="2220000" w14:sx="100000" w14:sy="100000" w14:kx="0" w14:ky="0" w14:algn="tl">
                                  <w14:schemeClr w14:val="bg1">
                                    <w14:alpha w14:val="5000"/>
                                  </w14:schemeClr>
                                </w14:shadow>
                              </w:rPr>
                              <w:t>Averea infractorilor</w:t>
                            </w:r>
                          </w:p>
                          <w:p w14:paraId="2902E3C5" w14:textId="24F20E14" w:rsidR="00DF111C" w:rsidRPr="00DF111C" w:rsidRDefault="00E176C2" w:rsidP="00DF111C">
                            <w:pPr>
                              <w:spacing w:after="120"/>
                              <w:rPr>
                                <w:rFonts w:ascii="Verdana" w:hAnsi="Verdana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Confiscarea bunurilor </w:t>
                            </w:r>
                            <w:r w:rsidRPr="00262FAB">
                              <w:rPr>
                                <w:rFonts w:ascii="Verdana" w:hAnsi="Verdana" w:cs="Arial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25400" w14:dist="38100" w14:dir="2700000" w14:sx="104000" w14:sy="104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provenite</w:t>
                            </w:r>
                            <w:r w:rsidRPr="00262FAB">
                              <w:rPr>
                                <w:rFonts w:ascii="Verdana" w:hAnsi="Verdana" w:cs="Arial"/>
                                <w:b/>
                                <w:color w:val="EEECE1" w:themeColor="background2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25400" w14:dist="38100" w14:dir="2700000" w14:sx="104000" w14:sy="104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262FAB">
                              <w:rPr>
                                <w:rFonts w:ascii="Verdana" w:hAnsi="Verdana" w:cs="Arial"/>
                                <w:b/>
                                <w:color w:val="002060"/>
                                <w:sz w:val="40"/>
                                <w:szCs w:val="40"/>
                                <w14:shadow w14:blurRad="25400" w14:dist="38100" w14:dir="2700000" w14:sx="104000" w14:sy="104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262FAB">
                              <w:rPr>
                                <w:rFonts w:ascii="Verdana" w:hAnsi="Verdana" w:cs="Arial"/>
                                <w:b/>
                                <w:color w:val="002060"/>
                                <w:sz w:val="40"/>
                                <w:szCs w:val="40"/>
                                <w14:shadow w14:blurRad="25400" w14:dist="38100" w14:dir="2700000" w14:sx="104000" w14:sy="104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din infracţiuni</w:t>
                            </w:r>
                          </w:p>
                          <w:p w14:paraId="42B21A1A" w14:textId="77777777" w:rsidR="009C5E71" w:rsidRPr="00DF111C" w:rsidRDefault="009C5E71" w:rsidP="00DB44C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before="480"/>
                              <w:ind w:right="578"/>
                              <w:rPr>
                                <w:rFonts w:ascii="Verdana" w:hAnsi="Verdana" w:cs="Tahoma"/>
                                <w:b/>
                                <w:color w:val="002A7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pt;margin-top:13.2pt;width:475.35pt;height:30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pu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" filled="f" stroked="f">
                <v:textbox>
                  <w:txbxContent>
                    <w:p w14:paraId="591E35D5" w14:textId="77777777" w:rsidR="009C5E71" w:rsidRPr="00FA2B4F" w:rsidRDefault="009C5E71" w:rsidP="00AD454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right="576"/>
                        <w:rPr>
                          <w:rFonts w:ascii="Verdana" w:hAnsi="Verdana"/>
                          <w:b/>
                          <w:color w:val="17365D" w:themeColor="text2" w:themeShade="BF"/>
                        </w:rPr>
                      </w:pPr>
                    </w:p>
                    <w:p w14:paraId="6AC24DFD" w14:textId="17BD7DAF" w:rsidR="009C5E71" w:rsidRDefault="00700A18" w:rsidP="00C772D5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40"/>
                        <w:ind w:right="578"/>
                        <w:rPr>
                          <w:rFonts w:ascii="Verdana" w:hAnsi="Verdana" w:cs="Tahoma"/>
                          <w:b/>
                          <w:bCs/>
                          <w:color w:val="002060"/>
                          <w:sz w:val="68"/>
                          <w:szCs w:val="6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2060"/>
                          <w:sz w:val="26"/>
                          <w:szCs w:val="26"/>
                        </w:rPr>
                        <w:t xml:space="preserve">Există </w:t>
                      </w:r>
                      <w:r w:rsidR="0015320D">
                        <w:rPr>
                          <w:rFonts w:ascii="Verdana" w:hAnsi="Verdana"/>
                          <w:b/>
                          <w:color w:val="002060"/>
                          <w:sz w:val="26"/>
                          <w:szCs w:val="26"/>
                        </w:rPr>
                        <w:t>un scepticism popular privind eficienţa condamnărilor atâta vreme cât marile averi clădite pe infracţiune p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6"/>
                          <w:szCs w:val="26"/>
                        </w:rPr>
                        <w:t>ar</w:t>
                      </w:r>
                      <w:r w:rsidR="0015320D">
                        <w:rPr>
                          <w:rFonts w:ascii="Verdana" w:hAnsi="Verdana"/>
                          <w:b/>
                          <w:color w:val="002060"/>
                          <w:sz w:val="26"/>
                          <w:szCs w:val="26"/>
                        </w:rPr>
                        <w:t xml:space="preserve"> a fi de neatins. 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6"/>
                          <w:szCs w:val="26"/>
                        </w:rPr>
                        <w:t>Dar s</w:t>
                      </w:r>
                      <w:r w:rsidR="0015320D">
                        <w:rPr>
                          <w:rFonts w:ascii="Verdana" w:hAnsi="Verdana"/>
                          <w:b/>
                          <w:color w:val="002060"/>
                          <w:sz w:val="26"/>
                          <w:szCs w:val="26"/>
                        </w:rPr>
                        <w:t>ituaţia a început să se schimbe iar confiscarea să fie mai eficientă</w:t>
                      </w:r>
                      <w:r>
                        <w:rPr>
                          <w:rFonts w:ascii="Verdana" w:hAnsi="Verdana"/>
                          <w:b/>
                          <w:color w:val="002060"/>
                          <w:sz w:val="26"/>
                          <w:szCs w:val="26"/>
                        </w:rPr>
                        <w:t>, deşi</w:t>
                      </w:r>
                      <w:r w:rsidR="0015320D">
                        <w:rPr>
                          <w:rFonts w:ascii="Verdana" w:hAnsi="Verdana"/>
                          <w:b/>
                          <w:color w:val="002060"/>
                          <w:sz w:val="26"/>
                          <w:szCs w:val="26"/>
                        </w:rPr>
                        <w:t xml:space="preserve"> mai sunt multe de făcut</w:t>
                      </w:r>
                      <w:r w:rsidR="00787C78">
                        <w:rPr>
                          <w:rFonts w:ascii="Verdana" w:hAnsi="Verdana"/>
                          <w:b/>
                          <w:color w:val="002060"/>
                          <w:sz w:val="26"/>
                          <w:szCs w:val="26"/>
                        </w:rPr>
                        <w:t>,</w:t>
                      </w:r>
                      <w:r w:rsidR="00742FF9">
                        <w:rPr>
                          <w:rFonts w:ascii="Verdana" w:hAnsi="Verdana"/>
                          <w:b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="00787C78">
                        <w:rPr>
                          <w:rFonts w:ascii="Verdana" w:hAnsi="Verdana"/>
                          <w:b/>
                          <w:color w:val="C00000"/>
                          <w:sz w:val="26"/>
                          <w:szCs w:val="26"/>
                        </w:rPr>
                        <w:t>explic</w:t>
                      </w:r>
                      <w:r w:rsidR="00C772D5" w:rsidRPr="00F73196">
                        <w:rPr>
                          <w:rFonts w:ascii="Verdana" w:hAnsi="Verdana"/>
                          <w:b/>
                          <w:color w:val="C00000"/>
                          <w:sz w:val="26"/>
                          <w:szCs w:val="26"/>
                        </w:rPr>
                        <w:t xml:space="preserve">ă </w:t>
                      </w:r>
                      <w:r w:rsidR="009C5E71" w:rsidRPr="00F73196">
                        <w:rPr>
                          <w:rFonts w:ascii="Verdana" w:hAnsi="Verdana"/>
                          <w:b/>
                          <w:color w:val="C00000"/>
                          <w:sz w:val="26"/>
                          <w:szCs w:val="26"/>
                        </w:rPr>
                        <w:t>EFOR</w:t>
                      </w:r>
                    </w:p>
                    <w:p w14:paraId="2A1D80C3" w14:textId="77777777" w:rsidR="001E734B" w:rsidRDefault="001E734B" w:rsidP="0032215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right="-43"/>
                        <w:rPr>
                          <w:rFonts w:ascii="Verdana" w:hAnsi="Verdana" w:cs="Tahoma"/>
                          <w:b/>
                          <w:bCs/>
                          <w:color w:val="002060"/>
                          <w:sz w:val="68"/>
                          <w:szCs w:val="68"/>
                        </w:rPr>
                      </w:pPr>
                    </w:p>
                    <w:p w14:paraId="3B36CD89" w14:textId="62F5DF09" w:rsidR="009C5E71" w:rsidRPr="00FB41A7" w:rsidRDefault="00E176C2" w:rsidP="0032215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right="-43"/>
                        <w:rPr>
                          <w:rFonts w:ascii="Verdana" w:hAnsi="Verdana" w:cs="Tahoma"/>
                          <w:b/>
                          <w:bCs/>
                          <w:color w:val="002060"/>
                          <w:sz w:val="68"/>
                          <w:szCs w:val="68"/>
                          <w14:shadow w14:blurRad="50800" w14:dist="76200" w14:dir="2220000" w14:sx="100000" w14:sy="100000" w14:kx="0" w14:ky="0" w14:algn="tl">
                            <w14:schemeClr w14:val="bg1">
                              <w14:alpha w14:val="5000"/>
                            </w14:schemeClr>
                          </w14:shadow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color w:val="002060"/>
                          <w:sz w:val="68"/>
                          <w:szCs w:val="68"/>
                          <w14:shadow w14:blurRad="50800" w14:dist="76200" w14:dir="2220000" w14:sx="100000" w14:sy="100000" w14:kx="0" w14:ky="0" w14:algn="tl">
                            <w14:schemeClr w14:val="bg1">
                              <w14:alpha w14:val="5000"/>
                            </w14:schemeClr>
                          </w14:shadow>
                        </w:rPr>
                        <w:t>Averea infractorilor</w:t>
                      </w:r>
                    </w:p>
                    <w:p w14:paraId="2902E3C5" w14:textId="24F20E14" w:rsidR="00DF111C" w:rsidRPr="00DF111C" w:rsidRDefault="00E176C2" w:rsidP="00DF111C">
                      <w:pPr>
                        <w:spacing w:after="120"/>
                        <w:rPr>
                          <w:rFonts w:ascii="Verdana" w:hAnsi="Verdana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2060"/>
                          <w:sz w:val="40"/>
                          <w:szCs w:val="40"/>
                        </w:rPr>
                        <w:t xml:space="preserve">Confiscarea bunurilor </w:t>
                      </w:r>
                      <w:r w:rsidRPr="00262FAB">
                        <w:rPr>
                          <w:rFonts w:ascii="Verdana" w:hAnsi="Verdana" w:cs="Arial"/>
                          <w:b/>
                          <w:color w:val="EEECE1" w:themeColor="background2"/>
                          <w:sz w:val="40"/>
                          <w:szCs w:val="40"/>
                          <w14:shadow w14:blurRad="25400" w14:dist="38100" w14:dir="2700000" w14:sx="104000" w14:sy="104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provenite</w:t>
                      </w:r>
                      <w:r w:rsidRPr="00262FAB">
                        <w:rPr>
                          <w:rFonts w:ascii="Verdana" w:hAnsi="Verdana" w:cs="Arial"/>
                          <w:b/>
                          <w:color w:val="EEECE1" w:themeColor="background2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25400" w14:dist="38100" w14:dir="2700000" w14:sx="104000" w14:sy="104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262FAB">
                        <w:rPr>
                          <w:rFonts w:ascii="Verdana" w:hAnsi="Verdana" w:cs="Arial"/>
                          <w:b/>
                          <w:color w:val="002060"/>
                          <w:sz w:val="40"/>
                          <w:szCs w:val="40"/>
                          <w14:shadow w14:blurRad="25400" w14:dist="38100" w14:dir="2700000" w14:sx="104000" w14:sy="104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262FAB">
                        <w:rPr>
                          <w:rFonts w:ascii="Verdana" w:hAnsi="Verdana" w:cs="Arial"/>
                          <w:b/>
                          <w:color w:val="002060"/>
                          <w:sz w:val="40"/>
                          <w:szCs w:val="40"/>
                          <w14:shadow w14:blurRad="25400" w14:dist="38100" w14:dir="2700000" w14:sx="104000" w14:sy="104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>
                        <w:rPr>
                          <w:rFonts w:ascii="Verdana" w:hAnsi="Verdana" w:cs="Arial"/>
                          <w:b/>
                          <w:color w:val="002060"/>
                          <w:sz w:val="40"/>
                          <w:szCs w:val="40"/>
                        </w:rPr>
                        <w:t xml:space="preserve">   din infracţiuni</w:t>
                      </w:r>
                    </w:p>
                    <w:p w14:paraId="42B21A1A" w14:textId="77777777" w:rsidR="009C5E71" w:rsidRPr="00DF111C" w:rsidRDefault="009C5E71" w:rsidP="00DB44C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before="480"/>
                        <w:ind w:right="578"/>
                        <w:rPr>
                          <w:rFonts w:ascii="Verdana" w:hAnsi="Verdana" w:cs="Tahoma"/>
                          <w:b/>
                          <w:color w:val="002A7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AFE" w:rsidRPr="00AA1075">
        <w:rPr>
          <w:rFonts w:ascii="Verdana" w:hAnsi="Verdana" w:cs="Tahoma"/>
          <w:b/>
          <w:i/>
          <w:color w:val="002060"/>
          <w:sz w:val="20"/>
          <w:szCs w:val="20"/>
        </w:rPr>
        <w:t xml:space="preserve">Policy Brief no. </w:t>
      </w:r>
      <w:r w:rsidR="004E2C78" w:rsidRPr="00AA1075">
        <w:rPr>
          <w:rFonts w:ascii="Verdana" w:hAnsi="Verdana" w:cs="Tahoma"/>
          <w:b/>
          <w:i/>
          <w:color w:val="002060"/>
          <w:sz w:val="20"/>
          <w:szCs w:val="20"/>
        </w:rPr>
        <w:t>30</w:t>
      </w:r>
      <w:r w:rsidR="00E15F33" w:rsidRPr="00AA1075">
        <w:rPr>
          <w:rFonts w:ascii="Verdana" w:hAnsi="Verdana" w:cs="Tahoma"/>
          <w:b/>
          <w:i/>
          <w:color w:val="002060"/>
          <w:sz w:val="20"/>
          <w:szCs w:val="20"/>
        </w:rPr>
        <w:t>, Decemb</w:t>
      </w:r>
      <w:r w:rsidR="009607A3" w:rsidRPr="00AA1075">
        <w:rPr>
          <w:rFonts w:ascii="Verdana" w:hAnsi="Verdana" w:cs="Tahoma"/>
          <w:b/>
          <w:i/>
          <w:color w:val="002060"/>
          <w:sz w:val="20"/>
          <w:szCs w:val="20"/>
        </w:rPr>
        <w:t>r</w:t>
      </w:r>
      <w:r w:rsidR="00696F5B" w:rsidRPr="00AA1075">
        <w:rPr>
          <w:rFonts w:ascii="Verdana" w:hAnsi="Verdana" w:cs="Tahoma"/>
          <w:b/>
          <w:i/>
          <w:color w:val="002060"/>
          <w:sz w:val="20"/>
          <w:szCs w:val="20"/>
        </w:rPr>
        <w:t>ie</w:t>
      </w:r>
      <w:r w:rsidR="00AE65B7" w:rsidRPr="00AA1075">
        <w:rPr>
          <w:rFonts w:ascii="Verdana" w:hAnsi="Verdana" w:cs="Tahoma"/>
          <w:b/>
          <w:i/>
          <w:color w:val="002060"/>
          <w:sz w:val="20"/>
          <w:szCs w:val="20"/>
        </w:rPr>
        <w:t xml:space="preserve"> 201</w:t>
      </w:r>
      <w:r w:rsidR="00497415" w:rsidRPr="00AA1075">
        <w:rPr>
          <w:rFonts w:ascii="Verdana" w:hAnsi="Verdana" w:cs="Tahoma"/>
          <w:b/>
          <w:i/>
          <w:color w:val="002060"/>
          <w:sz w:val="20"/>
          <w:szCs w:val="20"/>
        </w:rPr>
        <w:t>4</w:t>
      </w:r>
    </w:p>
    <w:p w14:paraId="05427761" w14:textId="77777777" w:rsidR="00F737C2" w:rsidRPr="00AA1075" w:rsidRDefault="00F737C2" w:rsidP="000A2AF0">
      <w:pPr>
        <w:spacing w:after="120"/>
        <w:rPr>
          <w:rFonts w:ascii="Verdana" w:hAnsi="Verdana"/>
          <w:color w:val="0070C0"/>
          <w:sz w:val="20"/>
          <w:szCs w:val="20"/>
        </w:rPr>
      </w:pPr>
    </w:p>
    <w:p w14:paraId="61EA8A72" w14:textId="77777777" w:rsidR="00F737C2" w:rsidRPr="00AA1075" w:rsidRDefault="00F737C2" w:rsidP="000A2AF0">
      <w:pPr>
        <w:spacing w:after="120"/>
        <w:rPr>
          <w:rFonts w:ascii="Verdana" w:hAnsi="Verdana"/>
          <w:color w:val="0070C0"/>
          <w:sz w:val="20"/>
          <w:szCs w:val="20"/>
        </w:rPr>
      </w:pPr>
    </w:p>
    <w:p w14:paraId="7DCE18D1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669B0F39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65A3DCF0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5A5FDE38" w14:textId="7FEC53CB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2ADCEDED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78A05FEE" w14:textId="0095C73D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3B8D2E90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324022F4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6189BFE8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7C941C3E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590C651E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4B900DA2" w14:textId="5D2E86A1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7067E29B" w14:textId="5FA75ABE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5C6D3D95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65E05EE9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6BA5EC0E" w14:textId="2023170F" w:rsidR="00F737C2" w:rsidRPr="00AA1075" w:rsidRDefault="00C10A65" w:rsidP="000A2AF0">
      <w:pPr>
        <w:spacing w:after="12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0D4E20" wp14:editId="7714774D">
                <wp:simplePos x="0" y="0"/>
                <wp:positionH relativeFrom="column">
                  <wp:posOffset>-217805</wp:posOffset>
                </wp:positionH>
                <wp:positionV relativeFrom="paragraph">
                  <wp:posOffset>222250</wp:posOffset>
                </wp:positionV>
                <wp:extent cx="3092450" cy="4070985"/>
                <wp:effectExtent l="0" t="0" r="0" b="571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407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E3318" w14:textId="53AFEC7F" w:rsidR="00091268" w:rsidRDefault="00C10A65" w:rsidP="002229B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 w:line="320" w:lineRule="exact"/>
                              <w:contextualSpacing w:val="0"/>
                              <w:rPr>
                                <w:rFonts w:ascii="Verdana" w:hAnsi="Verdana" w:cs="Tahoma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C00000"/>
                              </w:rPr>
                              <w:t>Confiscarea extinsă a averii se va aplica totdeauna doar corelativ unei pedepse pentru fapte penale grave</w:t>
                            </w:r>
                            <w:r w:rsidR="00EC6758">
                              <w:rPr>
                                <w:rFonts w:ascii="Verdana" w:hAnsi="Verdana" w:cs="Tahoma"/>
                                <w:b/>
                                <w:color w:val="C00000"/>
                              </w:rPr>
                              <w:t>;</w:t>
                            </w:r>
                          </w:p>
                          <w:p w14:paraId="676437EE" w14:textId="67C5BA69" w:rsidR="009C5E71" w:rsidRDefault="00C10A65" w:rsidP="0015320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 w:line="320" w:lineRule="exact"/>
                              <w:contextualSpacing w:val="0"/>
                              <w:rPr>
                                <w:rFonts w:ascii="Verdana" w:hAnsi="Verdana" w:cs="Tahoma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C00000"/>
                              </w:rPr>
                              <w:t>Rata scăzută a punerii în executare a deciziilor judecătoreşti de către ANAF e un motiv de îngrijorare</w:t>
                            </w:r>
                            <w:r w:rsidR="00EC6758">
                              <w:rPr>
                                <w:rFonts w:ascii="Verdana" w:hAnsi="Verdana" w:cs="Tahoma"/>
                                <w:b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C00000"/>
                              </w:rPr>
                              <w:t>pentru toată lumea;</w:t>
                            </w:r>
                          </w:p>
                          <w:p w14:paraId="6B66F4AE" w14:textId="4A8EA785" w:rsidR="00C10A65" w:rsidRPr="002229BC" w:rsidRDefault="00C10A65" w:rsidP="0015320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120" w:line="320" w:lineRule="exact"/>
                              <w:contextualSpacing w:val="0"/>
                              <w:rPr>
                                <w:rFonts w:ascii="Verdana" w:hAnsi="Verdana" w:cs="Tahoma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C00000"/>
                              </w:rPr>
                              <w:t>Este nevoie de o entitate care să administreze bunurile puse sub sechestru, pentru a preveni deprecierera acestora cu intenţie sau ca efect al trecerii timpului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7.15pt;margin-top:17.5pt;width:243.5pt;height:32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Bg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" stroked="f">
                <v:textbox>
                  <w:txbxContent>
                    <w:p w14:paraId="765E3318" w14:textId="53AFEC7F" w:rsidR="00091268" w:rsidRDefault="00C10A65" w:rsidP="002229B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 w:line="320" w:lineRule="exact"/>
                        <w:contextualSpacing w:val="0"/>
                        <w:rPr>
                          <w:rFonts w:ascii="Verdana" w:hAnsi="Verdana" w:cs="Tahoma"/>
                          <w:b/>
                          <w:color w:val="C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C00000"/>
                        </w:rPr>
                        <w:t>Confiscarea extinsă a averii se va aplica totdeauna doar corelativ unei pedepse pentru fapte penale grave</w:t>
                      </w:r>
                      <w:r w:rsidR="00EC6758">
                        <w:rPr>
                          <w:rFonts w:ascii="Verdana" w:hAnsi="Verdana" w:cs="Tahoma"/>
                          <w:b/>
                          <w:color w:val="C00000"/>
                        </w:rPr>
                        <w:t>;</w:t>
                      </w:r>
                    </w:p>
                    <w:p w14:paraId="676437EE" w14:textId="67C5BA69" w:rsidR="009C5E71" w:rsidRDefault="00C10A65" w:rsidP="0015320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 w:line="320" w:lineRule="exact"/>
                        <w:contextualSpacing w:val="0"/>
                        <w:rPr>
                          <w:rFonts w:ascii="Verdana" w:hAnsi="Verdana" w:cs="Tahoma"/>
                          <w:b/>
                          <w:color w:val="C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C00000"/>
                        </w:rPr>
                        <w:t>Rata scăzută a punerii în executare a deciziilor judecătoreşti de către ANAF e un motiv de îngrijorare</w:t>
                      </w:r>
                      <w:r w:rsidR="00EC6758">
                        <w:rPr>
                          <w:rFonts w:ascii="Verdana" w:hAnsi="Verdana" w:cs="Tahoma"/>
                          <w:b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color w:val="C00000"/>
                        </w:rPr>
                        <w:t>pentru toată lumea;</w:t>
                      </w:r>
                    </w:p>
                    <w:p w14:paraId="6B66F4AE" w14:textId="4A8EA785" w:rsidR="00C10A65" w:rsidRPr="002229BC" w:rsidRDefault="00C10A65" w:rsidP="0015320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120" w:line="320" w:lineRule="exact"/>
                        <w:contextualSpacing w:val="0"/>
                        <w:rPr>
                          <w:rFonts w:ascii="Verdana" w:hAnsi="Verdana" w:cs="Tahoma"/>
                          <w:b/>
                          <w:color w:val="C0000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C00000"/>
                        </w:rPr>
                        <w:t>Este nevoie de o entitate care să administreze bunurile puse sub sechestru, pentru a preveni deprecierera acestora cu intenţie sau ca efect al trecerii timpului</w:t>
                      </w:r>
                    </w:p>
                  </w:txbxContent>
                </v:textbox>
              </v:shape>
            </w:pict>
          </mc:Fallback>
        </mc:AlternateContent>
      </w:r>
    </w:p>
    <w:p w14:paraId="575DC600" w14:textId="4F94F25F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4381E403" w14:textId="3BE03340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69152426" w14:textId="40BCCC96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6B18B692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2E20E70A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3F4C48F8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6C981FDE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230B7652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09C6E635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2E7A3E7F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22BC4D4E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2CEE6189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50208116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0A050B4D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7E8F486F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59DAC4C1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38BB18D3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7CB42207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258A5C68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4807D0FB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6EE906CC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7CB6A33C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05A140FE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1646FE0F" w14:textId="29E7DE8F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3C8D3840" w14:textId="463FA33E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10B3CEF0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5D167EF0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4310AE67" w14:textId="62A45568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71FF90DD" w14:textId="556D7316" w:rsidR="00F737C2" w:rsidRPr="00AA1075" w:rsidRDefault="00262FAB" w:rsidP="000A2AF0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0ACFA7E4" wp14:editId="27C9CFA0">
            <wp:simplePos x="0" y="0"/>
            <wp:positionH relativeFrom="column">
              <wp:posOffset>-102507</wp:posOffset>
            </wp:positionH>
            <wp:positionV relativeFrom="paragraph">
              <wp:posOffset>121829</wp:posOffset>
            </wp:positionV>
            <wp:extent cx="3228975" cy="2144395"/>
            <wp:effectExtent l="0" t="0" r="9525" b="8255"/>
            <wp:wrapNone/>
            <wp:docPr id="1" name="Picture 1" descr="C:\Users\veronica\Desktop\spalare-b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\Desktop\spalare-ba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55A41" w14:textId="14FDD9B4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6F446613" w14:textId="2914EA84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2E0CC77D" w14:textId="77777777" w:rsidR="00F737C2" w:rsidRPr="00AA1075" w:rsidRDefault="00F737C2" w:rsidP="000A2AF0">
      <w:pPr>
        <w:spacing w:after="120"/>
        <w:rPr>
          <w:rFonts w:ascii="Verdana" w:hAnsi="Verdana"/>
          <w:sz w:val="20"/>
          <w:szCs w:val="20"/>
        </w:rPr>
      </w:pPr>
    </w:p>
    <w:p w14:paraId="3B4DBF22" w14:textId="77777777" w:rsidR="00DC33BD" w:rsidRPr="00AA1075" w:rsidRDefault="00DC33BD" w:rsidP="000A2AF0">
      <w:pPr>
        <w:spacing w:after="120"/>
        <w:rPr>
          <w:rFonts w:ascii="Verdana" w:hAnsi="Verdana"/>
          <w:sz w:val="20"/>
          <w:szCs w:val="20"/>
        </w:rPr>
      </w:pPr>
    </w:p>
    <w:p w14:paraId="30AA4216" w14:textId="77777777" w:rsidR="00C03B12" w:rsidRPr="00AA1075" w:rsidRDefault="00C03B12" w:rsidP="000A2AF0">
      <w:pPr>
        <w:spacing w:after="120"/>
        <w:rPr>
          <w:rFonts w:ascii="Verdana" w:hAnsi="Verdana"/>
          <w:i/>
          <w:sz w:val="20"/>
          <w:szCs w:val="20"/>
          <w:lang w:eastAsia="fr-FR"/>
        </w:rPr>
      </w:pPr>
    </w:p>
    <w:p w14:paraId="0EB60B74" w14:textId="392BFF97" w:rsidR="00371992" w:rsidRPr="00AA1075" w:rsidRDefault="00371992" w:rsidP="000A2AF0">
      <w:pPr>
        <w:spacing w:after="120"/>
        <w:rPr>
          <w:rFonts w:ascii="Verdana" w:hAnsi="Verdana"/>
          <w:sz w:val="20"/>
          <w:szCs w:val="20"/>
          <w:lang w:eastAsia="fr-FR"/>
        </w:rPr>
      </w:pPr>
    </w:p>
    <w:p w14:paraId="78E22339" w14:textId="7774835C" w:rsidR="000A2AF0" w:rsidRPr="00AA1075" w:rsidRDefault="000A2AF0" w:rsidP="000A2AF0">
      <w:pPr>
        <w:pStyle w:val="NoSpacing"/>
        <w:spacing w:after="120"/>
        <w:rPr>
          <w:rFonts w:ascii="Verdana" w:eastAsia="Times New Roman" w:hAnsi="Verdana"/>
          <w:sz w:val="20"/>
          <w:szCs w:val="20"/>
        </w:rPr>
      </w:pPr>
    </w:p>
    <w:p w14:paraId="166E49DB" w14:textId="77777777" w:rsidR="000A2AF0" w:rsidRPr="00AA1075" w:rsidRDefault="000A2AF0" w:rsidP="000A2AF0">
      <w:pPr>
        <w:pStyle w:val="NoSpacing"/>
        <w:spacing w:after="120"/>
        <w:rPr>
          <w:rFonts w:ascii="Verdana" w:eastAsia="Times New Roman" w:hAnsi="Verdana"/>
          <w:sz w:val="20"/>
          <w:szCs w:val="20"/>
        </w:rPr>
      </w:pPr>
    </w:p>
    <w:p w14:paraId="20140BAF" w14:textId="464ADBC7" w:rsidR="000A2AF0" w:rsidRPr="00AA1075" w:rsidRDefault="000A2AF0" w:rsidP="000A2AF0">
      <w:pPr>
        <w:pStyle w:val="NoSpacing"/>
        <w:spacing w:after="120"/>
        <w:rPr>
          <w:rFonts w:ascii="Verdana" w:eastAsia="Times New Roman" w:hAnsi="Verdana"/>
          <w:sz w:val="20"/>
          <w:szCs w:val="20"/>
        </w:rPr>
      </w:pPr>
    </w:p>
    <w:p w14:paraId="55A8D0F0" w14:textId="77777777" w:rsidR="00FB3C76" w:rsidRPr="00AA1075" w:rsidRDefault="00FB3C76" w:rsidP="00CC606A">
      <w:pPr>
        <w:spacing w:after="120"/>
        <w:rPr>
          <w:rStyle w:val="usercontent"/>
          <w:rFonts w:ascii="Verdana" w:hAnsi="Verdana" w:cs="Arial"/>
          <w:sz w:val="22"/>
          <w:szCs w:val="22"/>
        </w:rPr>
      </w:pPr>
    </w:p>
    <w:p w14:paraId="40844752" w14:textId="33D148D7" w:rsidR="00E2421E" w:rsidRPr="00AA1075" w:rsidRDefault="00E91A89" w:rsidP="00E2421E">
      <w:pPr>
        <w:spacing w:after="12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>I</w:t>
      </w:r>
      <w:r w:rsidR="00E2421E" w:rsidRPr="00AA1075">
        <w:rPr>
          <w:rFonts w:ascii="Verdana" w:hAnsi="Verdana"/>
          <w:sz w:val="20"/>
          <w:szCs w:val="20"/>
        </w:rPr>
        <w:t>n ultimii ani</w:t>
      </w:r>
      <w:r w:rsidRPr="00AA1075">
        <w:rPr>
          <w:rFonts w:ascii="Verdana" w:hAnsi="Verdana"/>
          <w:sz w:val="20"/>
          <w:szCs w:val="20"/>
        </w:rPr>
        <w:t>,</w:t>
      </w:r>
      <w:r w:rsidR="00E2421E" w:rsidRPr="00AA1075">
        <w:rPr>
          <w:rFonts w:ascii="Verdana" w:hAnsi="Verdana"/>
          <w:sz w:val="20"/>
          <w:szCs w:val="20"/>
        </w:rPr>
        <w:t xml:space="preserve"> pe măsură ce statul a conștientizat că pentru organizațiile criminale și marii infractori ceea ce contează este </w:t>
      </w:r>
      <w:r w:rsidR="00E24F3A" w:rsidRPr="00AA1075">
        <w:rPr>
          <w:rFonts w:ascii="Verdana" w:hAnsi="Verdana"/>
          <w:sz w:val="20"/>
          <w:szCs w:val="20"/>
        </w:rPr>
        <w:t xml:space="preserve">câştigul financiar </w:t>
      </w:r>
      <w:r w:rsidR="00E2421E" w:rsidRPr="00AA1075">
        <w:rPr>
          <w:rFonts w:ascii="Verdana" w:hAnsi="Verdana"/>
          <w:sz w:val="20"/>
          <w:szCs w:val="20"/>
        </w:rPr>
        <w:t>obțin</w:t>
      </w:r>
      <w:r w:rsidR="00E24F3A" w:rsidRPr="00AA1075">
        <w:rPr>
          <w:rFonts w:ascii="Verdana" w:hAnsi="Verdana"/>
          <w:sz w:val="20"/>
          <w:szCs w:val="20"/>
        </w:rPr>
        <w:t>ut</w:t>
      </w:r>
      <w:r w:rsidR="00E2421E" w:rsidRPr="00AA1075">
        <w:rPr>
          <w:rFonts w:ascii="Verdana" w:hAnsi="Verdana"/>
          <w:sz w:val="20"/>
          <w:szCs w:val="20"/>
        </w:rPr>
        <w:t xml:space="preserve"> la capătul carierei infra</w:t>
      </w:r>
      <w:bookmarkStart w:id="0" w:name="_GoBack"/>
      <w:bookmarkEnd w:id="0"/>
      <w:r w:rsidR="00E2421E" w:rsidRPr="00AA1075">
        <w:rPr>
          <w:rFonts w:ascii="Verdana" w:hAnsi="Verdana"/>
          <w:sz w:val="20"/>
          <w:szCs w:val="20"/>
        </w:rPr>
        <w:t>cționale</w:t>
      </w:r>
      <w:r w:rsidR="00E24F3A" w:rsidRPr="00AA1075">
        <w:rPr>
          <w:rFonts w:ascii="Verdana" w:hAnsi="Verdana"/>
          <w:sz w:val="20"/>
          <w:szCs w:val="20"/>
        </w:rPr>
        <w:t>, c</w:t>
      </w:r>
      <w:r w:rsidR="00E24F3A" w:rsidRPr="00AA1075">
        <w:rPr>
          <w:rFonts w:ascii="Verdana" w:hAnsi="Verdana"/>
          <w:sz w:val="20"/>
          <w:szCs w:val="20"/>
        </w:rPr>
        <w:t xml:space="preserve">onfiscarea bunurilor provenite din infracțiuni a </w:t>
      </w:r>
      <w:r w:rsidR="00E24F3A" w:rsidRPr="00AA1075">
        <w:rPr>
          <w:rFonts w:ascii="Verdana" w:hAnsi="Verdana"/>
          <w:sz w:val="20"/>
          <w:szCs w:val="20"/>
        </w:rPr>
        <w:t xml:space="preserve">devenit o </w:t>
      </w:r>
      <w:r w:rsidR="00AA1075">
        <w:rPr>
          <w:rFonts w:ascii="Verdana" w:hAnsi="Verdana"/>
          <w:sz w:val="20"/>
          <w:szCs w:val="20"/>
        </w:rPr>
        <w:t>urgenţă</w:t>
      </w:r>
      <w:r w:rsidR="00E2421E" w:rsidRPr="00AA1075">
        <w:rPr>
          <w:rFonts w:ascii="Verdana" w:hAnsi="Verdana"/>
          <w:sz w:val="20"/>
          <w:szCs w:val="20"/>
        </w:rPr>
        <w:t>. Pentru o sumă semnificativă mulți își asumă o condamna</w:t>
      </w:r>
      <w:r w:rsidR="00E24F3A" w:rsidRPr="00AA1075">
        <w:rPr>
          <w:rFonts w:ascii="Verdana" w:hAnsi="Verdana"/>
          <w:sz w:val="20"/>
          <w:szCs w:val="20"/>
        </w:rPr>
        <w:t xml:space="preserve">re la câțiva ani de închisoare – </w:t>
      </w:r>
      <w:r w:rsidR="00AA1075">
        <w:rPr>
          <w:rFonts w:ascii="Verdana" w:hAnsi="Verdana"/>
          <w:sz w:val="20"/>
          <w:szCs w:val="20"/>
        </w:rPr>
        <w:t xml:space="preserve">mai ales una nu </w:t>
      </w:r>
      <w:r w:rsidR="00E2421E" w:rsidRPr="00AA1075">
        <w:rPr>
          <w:rFonts w:ascii="Verdana" w:hAnsi="Verdana"/>
          <w:sz w:val="20"/>
          <w:szCs w:val="20"/>
        </w:rPr>
        <w:t xml:space="preserve">neapărat </w:t>
      </w:r>
      <w:r w:rsidR="00E24F3A" w:rsidRPr="00AA1075">
        <w:rPr>
          <w:rFonts w:ascii="Verdana" w:hAnsi="Verdana"/>
          <w:sz w:val="20"/>
          <w:szCs w:val="20"/>
        </w:rPr>
        <w:t>certă</w:t>
      </w:r>
      <w:r w:rsidR="00AA1075">
        <w:rPr>
          <w:rFonts w:ascii="Verdana" w:hAnsi="Verdana"/>
          <w:sz w:val="20"/>
          <w:szCs w:val="20"/>
        </w:rPr>
        <w:t xml:space="preserve"> date fiind supra-aglomerarea</w:t>
      </w:r>
      <w:r w:rsidR="00E2421E" w:rsidRPr="00AA1075">
        <w:rPr>
          <w:rFonts w:ascii="Verdana" w:hAnsi="Verdana"/>
          <w:sz w:val="20"/>
          <w:szCs w:val="20"/>
        </w:rPr>
        <w:t xml:space="preserve"> organelor judiciare, </w:t>
      </w:r>
      <w:r w:rsidR="00AA1075">
        <w:rPr>
          <w:rFonts w:ascii="Verdana" w:hAnsi="Verdana"/>
          <w:sz w:val="20"/>
          <w:szCs w:val="20"/>
        </w:rPr>
        <w:t>complexitatea</w:t>
      </w:r>
      <w:r w:rsidR="00E2421E" w:rsidRPr="00AA1075">
        <w:rPr>
          <w:rFonts w:ascii="Verdana" w:hAnsi="Verdana"/>
          <w:sz w:val="20"/>
          <w:szCs w:val="20"/>
        </w:rPr>
        <w:t xml:space="preserve"> infracțiunilor comise și</w:t>
      </w:r>
      <w:r w:rsidR="00AA1075">
        <w:rPr>
          <w:rFonts w:ascii="Verdana" w:hAnsi="Verdana"/>
          <w:sz w:val="20"/>
          <w:szCs w:val="20"/>
        </w:rPr>
        <w:t xml:space="preserve"> existența</w:t>
      </w:r>
      <w:r w:rsidR="00E2421E" w:rsidRPr="00AA1075">
        <w:rPr>
          <w:rFonts w:ascii="Verdana" w:hAnsi="Verdana"/>
          <w:sz w:val="20"/>
          <w:szCs w:val="20"/>
        </w:rPr>
        <w:t xml:space="preserve"> paradisuri</w:t>
      </w:r>
      <w:r w:rsidR="00AA1075">
        <w:rPr>
          <w:rFonts w:ascii="Verdana" w:hAnsi="Verdana"/>
          <w:sz w:val="20"/>
          <w:szCs w:val="20"/>
        </w:rPr>
        <w:t>lor</w:t>
      </w:r>
      <w:r w:rsidR="00E2421E" w:rsidRPr="00AA1075">
        <w:rPr>
          <w:rFonts w:ascii="Verdana" w:hAnsi="Verdana"/>
          <w:sz w:val="20"/>
          <w:szCs w:val="20"/>
        </w:rPr>
        <w:t xml:space="preserve"> fiscale în care banii pot fi spălați. Pentru ca infracțiunile să nu mai fie rentabile statul trebuie să își adapteze continuu politica sancționatorie la conduita infracțională, inclusiv confiscând cât mai </w:t>
      </w:r>
      <w:r w:rsidR="00E24F3A" w:rsidRPr="00AA1075">
        <w:rPr>
          <w:rFonts w:ascii="Verdana" w:hAnsi="Verdana"/>
          <w:sz w:val="20"/>
          <w:szCs w:val="20"/>
        </w:rPr>
        <w:t xml:space="preserve">mult din bunurile dobândite </w:t>
      </w:r>
      <w:r w:rsidR="00AA1075">
        <w:rPr>
          <w:rFonts w:ascii="Verdana" w:hAnsi="Verdana"/>
          <w:sz w:val="20"/>
          <w:szCs w:val="20"/>
        </w:rPr>
        <w:t>ast</w:t>
      </w:r>
      <w:r w:rsidR="00E24F3A" w:rsidRPr="00AA1075">
        <w:rPr>
          <w:rFonts w:ascii="Verdana" w:hAnsi="Verdana"/>
          <w:sz w:val="20"/>
          <w:szCs w:val="20"/>
        </w:rPr>
        <w:t>fel</w:t>
      </w:r>
      <w:r w:rsidR="00E2421E" w:rsidRPr="00AA1075">
        <w:rPr>
          <w:rFonts w:ascii="Verdana" w:hAnsi="Verdana"/>
          <w:sz w:val="20"/>
          <w:szCs w:val="20"/>
        </w:rPr>
        <w:t>. În acest raport trecem în revista evoluțiile pe care România le-a înregistrat în această materie și propunem măsuri care ar putea îmbunătăți performanța instituțiilor în anii care vin.</w:t>
      </w:r>
    </w:p>
    <w:p w14:paraId="2DB0FD04" w14:textId="1430EEDB" w:rsidR="00E2421E" w:rsidRPr="00AA1075" w:rsidRDefault="00482E88" w:rsidP="00482E88">
      <w:pPr>
        <w:spacing w:after="8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 xml:space="preserve">Măsura </w:t>
      </w:r>
      <w:r w:rsidRPr="00AA1075">
        <w:rPr>
          <w:rFonts w:ascii="Verdana" w:hAnsi="Verdana"/>
          <w:b/>
          <w:i/>
          <w:sz w:val="20"/>
          <w:szCs w:val="20"/>
        </w:rPr>
        <w:t>confiscării speciale</w:t>
      </w:r>
      <w:r w:rsidRPr="00AA1075">
        <w:rPr>
          <w:rFonts w:ascii="Verdana" w:hAnsi="Verdana"/>
          <w:sz w:val="20"/>
          <w:szCs w:val="20"/>
        </w:rPr>
        <w:t xml:space="preserve"> e</w:t>
      </w:r>
      <w:r w:rsidR="00E2421E" w:rsidRPr="00AA1075">
        <w:rPr>
          <w:rFonts w:ascii="Verdana" w:hAnsi="Verdana"/>
          <w:sz w:val="20"/>
          <w:szCs w:val="20"/>
        </w:rPr>
        <w:t xml:space="preserve"> prevăzut</w:t>
      </w:r>
      <w:r w:rsidR="00C02BA4" w:rsidRPr="00AA1075">
        <w:rPr>
          <w:rFonts w:ascii="Verdana" w:hAnsi="Verdana"/>
          <w:sz w:val="20"/>
          <w:szCs w:val="20"/>
        </w:rPr>
        <w:t xml:space="preserve">ă de noul Cod Penal la art 112 și vizează </w:t>
      </w:r>
      <w:r w:rsidR="00AA1075">
        <w:rPr>
          <w:rFonts w:ascii="Verdana" w:hAnsi="Verdana"/>
          <w:sz w:val="20"/>
          <w:szCs w:val="20"/>
        </w:rPr>
        <w:t>mai multe</w:t>
      </w:r>
      <w:r w:rsidR="00C02BA4" w:rsidRPr="00AA1075">
        <w:rPr>
          <w:rFonts w:ascii="Verdana" w:hAnsi="Verdana"/>
          <w:sz w:val="20"/>
          <w:szCs w:val="20"/>
        </w:rPr>
        <w:t xml:space="preserve"> </w:t>
      </w:r>
      <w:r w:rsidR="00E2421E" w:rsidRPr="00AA1075">
        <w:rPr>
          <w:rFonts w:ascii="Verdana" w:hAnsi="Verdana"/>
          <w:sz w:val="20"/>
          <w:szCs w:val="20"/>
        </w:rPr>
        <w:t>categorii de bunuri:</w:t>
      </w:r>
    </w:p>
    <w:p w14:paraId="79E74F54" w14:textId="6FC06AC1" w:rsidR="00E2421E" w:rsidRPr="00AA1075" w:rsidRDefault="0064447B" w:rsidP="00482E88">
      <w:pPr>
        <w:pStyle w:val="ListParagraph"/>
        <w:numPr>
          <w:ilvl w:val="0"/>
          <w:numId w:val="37"/>
        </w:numPr>
        <w:spacing w:after="80"/>
        <w:contextualSpacing w:val="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lastRenderedPageBreak/>
        <w:t>cele</w:t>
      </w:r>
      <w:r w:rsidR="00E2421E" w:rsidRPr="00AA1075">
        <w:rPr>
          <w:rFonts w:ascii="Verdana" w:hAnsi="Verdana"/>
          <w:sz w:val="20"/>
          <w:szCs w:val="20"/>
        </w:rPr>
        <w:t xml:space="preserve"> produse printr-o faptă penală</w:t>
      </w:r>
    </w:p>
    <w:p w14:paraId="39DB314B" w14:textId="3F1B76BE" w:rsidR="00E2421E" w:rsidRPr="00AA1075" w:rsidRDefault="0064447B" w:rsidP="00482E88">
      <w:pPr>
        <w:pStyle w:val="ListParagraph"/>
        <w:numPr>
          <w:ilvl w:val="0"/>
          <w:numId w:val="37"/>
        </w:numPr>
        <w:spacing w:after="80"/>
        <w:contextualSpacing w:val="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>cele</w:t>
      </w:r>
      <w:r w:rsidR="00E2421E" w:rsidRPr="00AA1075">
        <w:rPr>
          <w:rFonts w:ascii="Verdana" w:hAnsi="Verdana"/>
          <w:sz w:val="20"/>
          <w:szCs w:val="20"/>
        </w:rPr>
        <w:t xml:space="preserve"> folosite sau destinate </w:t>
      </w:r>
      <w:r w:rsidRPr="00AA1075">
        <w:rPr>
          <w:rFonts w:ascii="Verdana" w:hAnsi="Verdana"/>
          <w:sz w:val="20"/>
          <w:szCs w:val="20"/>
        </w:rPr>
        <w:t>folosirii</w:t>
      </w:r>
      <w:r w:rsidR="00E2421E" w:rsidRPr="00AA1075">
        <w:rPr>
          <w:rFonts w:ascii="Verdana" w:hAnsi="Verdana"/>
          <w:sz w:val="20"/>
          <w:szCs w:val="20"/>
        </w:rPr>
        <w:t xml:space="preserve"> la săvârșirea unei fapte penale</w:t>
      </w:r>
    </w:p>
    <w:p w14:paraId="28FED3C1" w14:textId="78DF1662" w:rsidR="00E2421E" w:rsidRPr="00AA1075" w:rsidRDefault="0064447B" w:rsidP="00482E88">
      <w:pPr>
        <w:pStyle w:val="ListParagraph"/>
        <w:numPr>
          <w:ilvl w:val="0"/>
          <w:numId w:val="37"/>
        </w:numPr>
        <w:spacing w:after="80"/>
        <w:contextualSpacing w:val="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>cele</w:t>
      </w:r>
      <w:r w:rsidR="00E2421E" w:rsidRPr="00AA1075">
        <w:rPr>
          <w:rFonts w:ascii="Verdana" w:hAnsi="Verdana"/>
          <w:sz w:val="20"/>
          <w:szCs w:val="20"/>
        </w:rPr>
        <w:t xml:space="preserve"> folosite imediat după săvârșirea faptei penale pentru a asigura scăparea făptuitorului sau păstrarea foloaselor obținute prin infracțiune</w:t>
      </w:r>
    </w:p>
    <w:p w14:paraId="530E4DDB" w14:textId="14D40700" w:rsidR="00E2421E" w:rsidRPr="00AA1075" w:rsidRDefault="0064447B" w:rsidP="00482E88">
      <w:pPr>
        <w:pStyle w:val="ListParagraph"/>
        <w:numPr>
          <w:ilvl w:val="0"/>
          <w:numId w:val="37"/>
        </w:numPr>
        <w:spacing w:after="80"/>
        <w:contextualSpacing w:val="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>cele</w:t>
      </w:r>
      <w:r w:rsidR="00E2421E" w:rsidRPr="00AA1075">
        <w:rPr>
          <w:rFonts w:ascii="Verdana" w:hAnsi="Verdana"/>
          <w:sz w:val="20"/>
          <w:szCs w:val="20"/>
        </w:rPr>
        <w:t xml:space="preserve"> date pentru a determina săvârșirea faptei penale sau pentru a-l recompensa pe făptuitor</w:t>
      </w:r>
    </w:p>
    <w:p w14:paraId="66CDB3FB" w14:textId="6E123E91" w:rsidR="00E2421E" w:rsidRPr="00AA1075" w:rsidRDefault="0064447B" w:rsidP="00482E88">
      <w:pPr>
        <w:pStyle w:val="ListParagraph"/>
        <w:numPr>
          <w:ilvl w:val="0"/>
          <w:numId w:val="37"/>
        </w:numPr>
        <w:spacing w:after="80"/>
        <w:contextualSpacing w:val="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>cele</w:t>
      </w:r>
      <w:r w:rsidR="00E2421E" w:rsidRPr="00AA1075">
        <w:rPr>
          <w:rFonts w:ascii="Verdana" w:hAnsi="Verdana"/>
          <w:sz w:val="20"/>
          <w:szCs w:val="20"/>
        </w:rPr>
        <w:t xml:space="preserve"> dobândite prin fapta penală, dacă nu se restituie persoanei vătămate și dacă nu servesc la despăgubirea acesteia</w:t>
      </w:r>
    </w:p>
    <w:p w14:paraId="7C7E93D3" w14:textId="70BB1637" w:rsidR="00E2421E" w:rsidRPr="00AA1075" w:rsidRDefault="0064447B" w:rsidP="00E2421E">
      <w:pPr>
        <w:pStyle w:val="ListParagraph"/>
        <w:numPr>
          <w:ilvl w:val="0"/>
          <w:numId w:val="37"/>
        </w:numPr>
        <w:spacing w:after="120"/>
        <w:contextualSpacing w:val="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>cele</w:t>
      </w:r>
      <w:r w:rsidR="00C02BA4" w:rsidRPr="00AA1075">
        <w:rPr>
          <w:rFonts w:ascii="Verdana" w:hAnsi="Verdana"/>
          <w:sz w:val="20"/>
          <w:szCs w:val="20"/>
        </w:rPr>
        <w:t xml:space="preserve"> a căror deținere e</w:t>
      </w:r>
      <w:r w:rsidR="00E2421E" w:rsidRPr="00AA1075">
        <w:rPr>
          <w:rFonts w:ascii="Verdana" w:hAnsi="Verdana"/>
          <w:sz w:val="20"/>
          <w:szCs w:val="20"/>
        </w:rPr>
        <w:t xml:space="preserve"> interzisă de legea penală.</w:t>
      </w:r>
    </w:p>
    <w:p w14:paraId="2D8BD3F8" w14:textId="77777777" w:rsidR="00C02BA4" w:rsidRPr="00AA1075" w:rsidRDefault="00E2421E" w:rsidP="00E2421E">
      <w:pPr>
        <w:spacing w:after="12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 xml:space="preserve">Pe lângă confiscarea specială Codul Penal românesc a inclus începând cu 2012 măsura </w:t>
      </w:r>
      <w:r w:rsidRPr="00AA1075">
        <w:rPr>
          <w:rFonts w:ascii="Verdana" w:hAnsi="Verdana"/>
          <w:b/>
          <w:i/>
          <w:sz w:val="20"/>
          <w:szCs w:val="20"/>
        </w:rPr>
        <w:t>confiscării</w:t>
      </w:r>
      <w:r w:rsidR="00C02BA4" w:rsidRPr="00AA1075">
        <w:rPr>
          <w:rFonts w:ascii="Verdana" w:hAnsi="Verdana"/>
          <w:b/>
          <w:i/>
          <w:sz w:val="20"/>
          <w:szCs w:val="20"/>
        </w:rPr>
        <w:t xml:space="preserve"> extinse</w:t>
      </w:r>
      <w:r w:rsidR="00C02BA4" w:rsidRPr="00AA1075">
        <w:rPr>
          <w:rFonts w:ascii="Verdana" w:hAnsi="Verdana"/>
          <w:sz w:val="20"/>
          <w:szCs w:val="20"/>
        </w:rPr>
        <w:t>: art</w:t>
      </w:r>
      <w:r w:rsidRPr="00AA1075">
        <w:rPr>
          <w:rFonts w:ascii="Verdana" w:hAnsi="Verdana"/>
          <w:sz w:val="20"/>
          <w:szCs w:val="20"/>
        </w:rPr>
        <w:t xml:space="preserve"> 112</w:t>
      </w:r>
      <w:r w:rsidRPr="00AA1075">
        <w:rPr>
          <w:rFonts w:ascii="Verdana" w:hAnsi="Verdana"/>
          <w:sz w:val="20"/>
          <w:szCs w:val="20"/>
          <w:vertAlign w:val="superscript"/>
        </w:rPr>
        <w:t>1</w:t>
      </w:r>
      <w:r w:rsidRPr="00AA1075">
        <w:rPr>
          <w:rFonts w:ascii="Verdana" w:hAnsi="Verdana"/>
          <w:sz w:val="20"/>
          <w:szCs w:val="20"/>
        </w:rPr>
        <w:t>. Aceasta permite instanței de judecată să confiște mai mult decât bunurile provenite din infracțiunile deduse judecății</w:t>
      </w:r>
      <w:r w:rsidR="00C02BA4" w:rsidRPr="00AA1075">
        <w:rPr>
          <w:rFonts w:ascii="Verdana" w:hAnsi="Verdana"/>
          <w:sz w:val="20"/>
          <w:szCs w:val="20"/>
        </w:rPr>
        <w:t>:</w:t>
      </w:r>
      <w:r w:rsidRPr="00AA1075">
        <w:rPr>
          <w:rFonts w:ascii="Verdana" w:hAnsi="Verdana"/>
          <w:sz w:val="20"/>
          <w:szCs w:val="20"/>
        </w:rPr>
        <w:t xml:space="preserve"> se pot confisca și bunurile obținute cu 5 ani înainte de comiterea infracțiunii dacă ele depășesc în mod vădit veniturile obținute de respectiva persoană în mod licit și dacă instanța are convingerea ca </w:t>
      </w:r>
      <w:r w:rsidR="00C02BA4" w:rsidRPr="00AA1075">
        <w:rPr>
          <w:rFonts w:ascii="Verdana" w:hAnsi="Verdana"/>
          <w:sz w:val="20"/>
          <w:szCs w:val="20"/>
        </w:rPr>
        <w:t>ele</w:t>
      </w:r>
      <w:r w:rsidRPr="00AA1075">
        <w:rPr>
          <w:rFonts w:ascii="Verdana" w:hAnsi="Verdana"/>
          <w:sz w:val="20"/>
          <w:szCs w:val="20"/>
        </w:rPr>
        <w:t xml:space="preserve"> provin din infracțiuni similare celor pentru care se pronunța condamnarea. </w:t>
      </w:r>
    </w:p>
    <w:p w14:paraId="76B44BD7" w14:textId="7C03C7F0" w:rsidR="00E2421E" w:rsidRPr="00AA1075" w:rsidRDefault="00E2421E" w:rsidP="00E2421E">
      <w:pPr>
        <w:spacing w:after="12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 xml:space="preserve">Așadar ne aflăm în cazul unei confiscări care va fi mereu corelativă unei condamnări penale pentru o faptă gravă, iar nu în situația unei confiscări independent de o condamnare penală. În această materie legislația românească transpune parțial </w:t>
      </w:r>
      <w:r w:rsidRPr="00AA1075">
        <w:rPr>
          <w:rFonts w:ascii="Verdana" w:hAnsi="Verdana"/>
          <w:b/>
          <w:i/>
          <w:sz w:val="20"/>
          <w:szCs w:val="20"/>
        </w:rPr>
        <w:t>Directiva Europeană privind sechestrarea și confiscarea bunurilor provenite din infracțiuni</w:t>
      </w:r>
      <w:r w:rsidRPr="00AA1075">
        <w:rPr>
          <w:rFonts w:ascii="Verdana" w:hAnsi="Verdana"/>
          <w:sz w:val="20"/>
          <w:szCs w:val="20"/>
        </w:rPr>
        <w:t xml:space="preserve">. </w:t>
      </w:r>
      <w:r w:rsidR="00DC363D" w:rsidRPr="00AA1075">
        <w:rPr>
          <w:rFonts w:ascii="Verdana" w:hAnsi="Verdana"/>
          <w:sz w:val="20"/>
          <w:szCs w:val="20"/>
        </w:rPr>
        <w:t>Chestiunea</w:t>
      </w:r>
      <w:r w:rsidRPr="00AA1075">
        <w:rPr>
          <w:rFonts w:ascii="Verdana" w:hAnsi="Verdana"/>
          <w:sz w:val="20"/>
          <w:szCs w:val="20"/>
        </w:rPr>
        <w:t xml:space="preserve"> a fost evaluată de CCR care a decis că prevederea e constituțională în măsura în care momentul până la care instanța poate să se raporteze la bunurile dobândite este </w:t>
      </w:r>
      <w:r w:rsidR="00DC363D" w:rsidRPr="00AA1075">
        <w:rPr>
          <w:rFonts w:ascii="Verdana" w:hAnsi="Verdana"/>
          <w:sz w:val="20"/>
          <w:szCs w:val="20"/>
        </w:rPr>
        <w:t>cel</w:t>
      </w:r>
      <w:r w:rsidRPr="00AA1075">
        <w:rPr>
          <w:rFonts w:ascii="Verdana" w:hAnsi="Verdana"/>
          <w:sz w:val="20"/>
          <w:szCs w:val="20"/>
        </w:rPr>
        <w:t xml:space="preserve"> la care a intrat în vigoare norma care prevede confiscarea extinsă (2012). CCR a stabilit și că legiferarea confiscării extinse nu intră în contradicție cu articolul 44 alin. 8 din Constituție care prezum</w:t>
      </w:r>
      <w:r w:rsidR="00DC363D" w:rsidRPr="00AA1075">
        <w:rPr>
          <w:rFonts w:ascii="Verdana" w:hAnsi="Verdana"/>
          <w:sz w:val="20"/>
          <w:szCs w:val="20"/>
        </w:rPr>
        <w:t>ă</w:t>
      </w:r>
      <w:r w:rsidRPr="00AA1075">
        <w:rPr>
          <w:rFonts w:ascii="Verdana" w:hAnsi="Verdana"/>
          <w:sz w:val="20"/>
          <w:szCs w:val="20"/>
        </w:rPr>
        <w:t xml:space="preserve"> caracterul licit al dobândirii averii.</w:t>
      </w:r>
    </w:p>
    <w:p w14:paraId="7328D5DD" w14:textId="4F88B60F" w:rsidR="00E2421E" w:rsidRPr="00AA1075" w:rsidRDefault="00E2421E" w:rsidP="00E2421E">
      <w:pPr>
        <w:spacing w:after="12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>Pe lângă confiscarea î</w:t>
      </w:r>
      <w:r w:rsidR="001F2834" w:rsidRPr="00AA1075">
        <w:rPr>
          <w:rFonts w:ascii="Verdana" w:hAnsi="Verdana"/>
          <w:sz w:val="20"/>
          <w:szCs w:val="20"/>
        </w:rPr>
        <w:t xml:space="preserve">n materie penală, </w:t>
      </w:r>
      <w:r w:rsidRPr="00AA1075">
        <w:rPr>
          <w:rFonts w:ascii="Verdana" w:hAnsi="Verdana"/>
          <w:sz w:val="20"/>
          <w:szCs w:val="20"/>
        </w:rPr>
        <w:t xml:space="preserve">în legislația românească există și un tip de </w:t>
      </w:r>
      <w:r w:rsidRPr="00AA1075">
        <w:rPr>
          <w:rFonts w:ascii="Verdana" w:hAnsi="Verdana"/>
          <w:b/>
          <w:i/>
          <w:sz w:val="20"/>
          <w:szCs w:val="20"/>
        </w:rPr>
        <w:t>confiscare civilă</w:t>
      </w:r>
      <w:r w:rsidRPr="00AA1075">
        <w:rPr>
          <w:rFonts w:ascii="Verdana" w:hAnsi="Verdana"/>
          <w:sz w:val="20"/>
          <w:szCs w:val="20"/>
        </w:rPr>
        <w:t xml:space="preserve"> care poate fi dispusă la finalul procedurilor privind controlul </w:t>
      </w:r>
      <w:r w:rsidRPr="00AA1075">
        <w:rPr>
          <w:rFonts w:ascii="Verdana" w:hAnsi="Verdana"/>
          <w:b/>
          <w:i/>
          <w:sz w:val="20"/>
          <w:szCs w:val="20"/>
        </w:rPr>
        <w:t>averilor nejustificate</w:t>
      </w:r>
      <w:r w:rsidRPr="00AA1075">
        <w:rPr>
          <w:rFonts w:ascii="Verdana" w:hAnsi="Verdana"/>
          <w:sz w:val="20"/>
          <w:szCs w:val="20"/>
        </w:rPr>
        <w:t xml:space="preserve"> inițiate de </w:t>
      </w:r>
      <w:r w:rsidR="001F2834" w:rsidRPr="00AA1075">
        <w:rPr>
          <w:rFonts w:ascii="Verdana" w:hAnsi="Verdana"/>
          <w:sz w:val="20"/>
          <w:szCs w:val="20"/>
        </w:rPr>
        <w:t>ANI</w:t>
      </w:r>
      <w:r w:rsidRPr="00AA1075">
        <w:rPr>
          <w:rFonts w:ascii="Verdana" w:hAnsi="Verdana"/>
          <w:sz w:val="20"/>
          <w:szCs w:val="20"/>
        </w:rPr>
        <w:t xml:space="preserve"> și finalizate în instanțele de judecată. </w:t>
      </w:r>
      <w:r w:rsidRPr="00AA1075">
        <w:rPr>
          <w:rFonts w:ascii="Verdana" w:hAnsi="Verdana"/>
          <w:sz w:val="20"/>
          <w:szCs w:val="20"/>
        </w:rPr>
        <w:lastRenderedPageBreak/>
        <w:t xml:space="preserve">Această procedură privește exclusiv oficialii publici care intră sub incidența legii 176/2010 și permite confiscarea printr-o procedură derulată în fața instanțelor </w:t>
      </w:r>
      <w:r w:rsidR="001F2834" w:rsidRPr="00AA1075">
        <w:rPr>
          <w:rFonts w:ascii="Verdana" w:hAnsi="Verdana"/>
          <w:sz w:val="20"/>
          <w:szCs w:val="20"/>
        </w:rPr>
        <w:t>de contencios administrativ a pă</w:t>
      </w:r>
      <w:r w:rsidRPr="00AA1075">
        <w:rPr>
          <w:rFonts w:ascii="Verdana" w:hAnsi="Verdana"/>
          <w:sz w:val="20"/>
          <w:szCs w:val="20"/>
        </w:rPr>
        <w:t xml:space="preserve">rții din avere pe care oficialul a obținut-o în mod nejustificat pe durata exercitării funcției publice. </w:t>
      </w:r>
      <w:r w:rsidR="001F2834" w:rsidRPr="00AA1075">
        <w:rPr>
          <w:rFonts w:ascii="Verdana" w:hAnsi="Verdana"/>
          <w:sz w:val="20"/>
          <w:szCs w:val="20"/>
        </w:rPr>
        <w:t>I</w:t>
      </w:r>
      <w:r w:rsidRPr="00AA1075">
        <w:rPr>
          <w:rFonts w:ascii="Verdana" w:hAnsi="Verdana"/>
          <w:sz w:val="20"/>
          <w:szCs w:val="20"/>
        </w:rPr>
        <w:t>n acest caz ne aflăm în situația unei confiscări ca</w:t>
      </w:r>
      <w:r w:rsidR="001F2834" w:rsidRPr="00AA1075">
        <w:rPr>
          <w:rFonts w:ascii="Verdana" w:hAnsi="Verdana"/>
          <w:sz w:val="20"/>
          <w:szCs w:val="20"/>
        </w:rPr>
        <w:t xml:space="preserve">re nu presupune o condamnare </w:t>
      </w:r>
      <w:r w:rsidRPr="00AA1075">
        <w:rPr>
          <w:rFonts w:ascii="Verdana" w:hAnsi="Verdana"/>
          <w:sz w:val="20"/>
          <w:szCs w:val="20"/>
        </w:rPr>
        <w:t xml:space="preserve">penală. </w:t>
      </w:r>
    </w:p>
    <w:p w14:paraId="4B89F681" w14:textId="77777777" w:rsidR="00AA1075" w:rsidRDefault="00E2421E" w:rsidP="00E2421E">
      <w:pPr>
        <w:spacing w:after="12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>Revenind la confiscarea specială în materie penală, dacă în privința bunurilor produse prin săvârșirea unei fapte penale – de exemplu banii obținuți din vânzarea de droguri – lucrurile sunt relativ clare</w:t>
      </w:r>
      <w:r w:rsidR="005E432B" w:rsidRPr="00AA1075">
        <w:rPr>
          <w:rFonts w:ascii="Verdana" w:hAnsi="Verdana"/>
          <w:sz w:val="20"/>
          <w:szCs w:val="20"/>
        </w:rPr>
        <w:t>,</w:t>
      </w:r>
      <w:r w:rsidRPr="00AA1075">
        <w:rPr>
          <w:rFonts w:ascii="Verdana" w:hAnsi="Verdana"/>
          <w:sz w:val="20"/>
          <w:szCs w:val="20"/>
        </w:rPr>
        <w:t xml:space="preserve"> aceștia fiind confiscați și fiind aduși la bugetul de stat, bunurile prevăzute la litera </w:t>
      </w:r>
      <w:r w:rsidR="005E432B" w:rsidRPr="00AA1075">
        <w:rPr>
          <w:rFonts w:ascii="Verdana" w:hAnsi="Verdana"/>
          <w:sz w:val="20"/>
          <w:szCs w:val="20"/>
        </w:rPr>
        <w:t>(</w:t>
      </w:r>
      <w:r w:rsidRPr="00AA1075">
        <w:rPr>
          <w:rFonts w:ascii="Verdana" w:hAnsi="Verdana"/>
          <w:sz w:val="20"/>
          <w:szCs w:val="20"/>
        </w:rPr>
        <w:t>e</w:t>
      </w:r>
      <w:r w:rsidR="005E432B" w:rsidRPr="00AA1075">
        <w:rPr>
          <w:rFonts w:ascii="Verdana" w:hAnsi="Verdana"/>
          <w:sz w:val="20"/>
          <w:szCs w:val="20"/>
        </w:rPr>
        <w:t>) a art</w:t>
      </w:r>
      <w:r w:rsidRPr="00AA1075">
        <w:rPr>
          <w:rFonts w:ascii="Verdana" w:hAnsi="Verdana"/>
          <w:sz w:val="20"/>
          <w:szCs w:val="20"/>
        </w:rPr>
        <w:t xml:space="preserve"> 112 generează cele mai multe confuzii în interpretarea datelor statistice. Confuzia provine din necorelarea aparentă între valoarea prejudiciilor generate prin infracțiuni, a sechestrelor puse în dosarele penale și a confiscărilor def</w:t>
      </w:r>
      <w:r w:rsidR="005E432B" w:rsidRPr="00AA1075">
        <w:rPr>
          <w:rFonts w:ascii="Verdana" w:hAnsi="Verdana"/>
          <w:sz w:val="20"/>
          <w:szCs w:val="20"/>
        </w:rPr>
        <w:t>initive dispuse de instanțe</w:t>
      </w:r>
      <w:r w:rsidRPr="00AA1075">
        <w:rPr>
          <w:rFonts w:ascii="Verdana" w:hAnsi="Verdana"/>
          <w:sz w:val="20"/>
          <w:szCs w:val="20"/>
        </w:rPr>
        <w:t xml:space="preserve">. </w:t>
      </w:r>
    </w:p>
    <w:p w14:paraId="4AEA5B18" w14:textId="6CAAF00B" w:rsidR="00E2421E" w:rsidRPr="00AA1075" w:rsidRDefault="00E2421E" w:rsidP="00E2421E">
      <w:pPr>
        <w:spacing w:after="12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 xml:space="preserve">Potrivit legislației în vigoare </w:t>
      </w:r>
      <w:r w:rsidRPr="00AA1075">
        <w:rPr>
          <w:rFonts w:ascii="Verdana" w:hAnsi="Verdana"/>
          <w:b/>
          <w:sz w:val="20"/>
          <w:szCs w:val="20"/>
        </w:rPr>
        <w:t>măsura asiguratorie a sechestrului nu se ia exclusiv în vederea confiscării</w:t>
      </w:r>
      <w:r w:rsidR="00AA1075">
        <w:rPr>
          <w:rFonts w:ascii="Verdana" w:hAnsi="Verdana"/>
          <w:sz w:val="20"/>
          <w:szCs w:val="20"/>
        </w:rPr>
        <w:t xml:space="preserve"> (speciale conform art</w:t>
      </w:r>
      <w:r w:rsidRPr="00AA1075">
        <w:rPr>
          <w:rFonts w:ascii="Verdana" w:hAnsi="Verdana"/>
          <w:sz w:val="20"/>
          <w:szCs w:val="20"/>
        </w:rPr>
        <w:t xml:space="preserve"> 112</w:t>
      </w:r>
      <w:r w:rsidR="00AA1075">
        <w:rPr>
          <w:rFonts w:ascii="Verdana" w:hAnsi="Verdana"/>
          <w:sz w:val="20"/>
          <w:szCs w:val="20"/>
        </w:rPr>
        <w:t xml:space="preserve"> sau extinse conform art</w:t>
      </w:r>
      <w:r w:rsidRPr="00AA1075">
        <w:rPr>
          <w:rFonts w:ascii="Verdana" w:hAnsi="Verdana"/>
          <w:sz w:val="20"/>
          <w:szCs w:val="20"/>
        </w:rPr>
        <w:t xml:space="preserve"> 112</w:t>
      </w:r>
      <w:r w:rsidRPr="00AA1075">
        <w:rPr>
          <w:rFonts w:ascii="Verdana" w:hAnsi="Verdana"/>
          <w:sz w:val="20"/>
          <w:szCs w:val="20"/>
          <w:vertAlign w:val="superscript"/>
        </w:rPr>
        <w:t>1</w:t>
      </w:r>
      <w:r w:rsidR="00AA1075">
        <w:rPr>
          <w:rFonts w:ascii="Verdana" w:hAnsi="Verdana"/>
          <w:sz w:val="20"/>
          <w:szCs w:val="20"/>
        </w:rPr>
        <w:t xml:space="preserve"> )</w:t>
      </w:r>
      <w:r w:rsidRPr="00AA1075">
        <w:rPr>
          <w:rFonts w:ascii="Verdana" w:hAnsi="Verdana"/>
          <w:sz w:val="20"/>
          <w:szCs w:val="20"/>
        </w:rPr>
        <w:t xml:space="preserve"> </w:t>
      </w:r>
      <w:r w:rsidRPr="00AA1075">
        <w:rPr>
          <w:rFonts w:ascii="Verdana" w:hAnsi="Verdana"/>
          <w:b/>
          <w:sz w:val="20"/>
          <w:szCs w:val="20"/>
        </w:rPr>
        <w:t>ci și în vederea recuperării pagubei și a garantării executării pedepsei amenzii și a recuperării cheltuielilor de judecată</w:t>
      </w:r>
      <w:r w:rsidRPr="00AA1075">
        <w:rPr>
          <w:rFonts w:ascii="Verdana" w:hAnsi="Verdana"/>
          <w:sz w:val="20"/>
          <w:szCs w:val="20"/>
        </w:rPr>
        <w:t>. Dacă bunurile sechestrate sunt utilizate în vederea recuperării pagubei generate prin infracțiune în hotă</w:t>
      </w:r>
      <w:r w:rsidR="00DB3C66">
        <w:rPr>
          <w:rFonts w:ascii="Verdana" w:hAnsi="Verdana"/>
          <w:sz w:val="20"/>
          <w:szCs w:val="20"/>
        </w:rPr>
        <w:t xml:space="preserve">rârea definitivă a instanței, </w:t>
      </w:r>
      <w:r w:rsidRPr="00AA1075">
        <w:rPr>
          <w:rFonts w:ascii="Verdana" w:hAnsi="Verdana"/>
          <w:sz w:val="20"/>
          <w:szCs w:val="20"/>
        </w:rPr>
        <w:t xml:space="preserve">ele nu se vor regăsi la secțiunea aferentă confiscării. </w:t>
      </w:r>
      <w:r w:rsidR="00DB3C66">
        <w:rPr>
          <w:rFonts w:ascii="Verdana" w:hAnsi="Verdana"/>
          <w:sz w:val="20"/>
          <w:szCs w:val="20"/>
        </w:rPr>
        <w:t>Deci</w:t>
      </w:r>
      <w:r w:rsidRPr="00AA1075">
        <w:rPr>
          <w:rFonts w:ascii="Verdana" w:hAnsi="Verdana"/>
          <w:sz w:val="20"/>
          <w:szCs w:val="20"/>
        </w:rPr>
        <w:t xml:space="preserve"> sfera de aplicabilitare a sechestrului judiciar este mai largă decât cea a confiscări</w:t>
      </w:r>
      <w:r w:rsidR="00DB3C66">
        <w:rPr>
          <w:rFonts w:ascii="Verdana" w:hAnsi="Verdana"/>
          <w:sz w:val="20"/>
          <w:szCs w:val="20"/>
        </w:rPr>
        <w:t>i (speciale sau extinse). Aşa</w:t>
      </w:r>
      <w:r w:rsidRPr="00AA1075">
        <w:rPr>
          <w:rFonts w:ascii="Verdana" w:hAnsi="Verdana"/>
          <w:sz w:val="20"/>
          <w:szCs w:val="20"/>
        </w:rPr>
        <w:t xml:space="preserve"> se explică de ce val</w:t>
      </w:r>
      <w:r w:rsidR="00DB3C66">
        <w:rPr>
          <w:rFonts w:ascii="Verdana" w:hAnsi="Verdana"/>
          <w:sz w:val="20"/>
          <w:szCs w:val="20"/>
        </w:rPr>
        <w:t>oarea bunurilor sechestrate e</w:t>
      </w:r>
      <w:r w:rsidRPr="00AA1075">
        <w:rPr>
          <w:rFonts w:ascii="Verdana" w:hAnsi="Verdana"/>
          <w:sz w:val="20"/>
          <w:szCs w:val="20"/>
        </w:rPr>
        <w:t xml:space="preserve"> mai mare decât cea a bunurilor confiscate prin decizii defini</w:t>
      </w:r>
      <w:r w:rsidR="00DB3C66">
        <w:rPr>
          <w:rFonts w:ascii="Verdana" w:hAnsi="Verdana"/>
          <w:sz w:val="20"/>
          <w:szCs w:val="20"/>
        </w:rPr>
        <w:t>tive:</w:t>
      </w:r>
      <w:r w:rsidRPr="00AA1075">
        <w:rPr>
          <w:rFonts w:ascii="Verdana" w:hAnsi="Verdana"/>
          <w:sz w:val="20"/>
          <w:szCs w:val="20"/>
        </w:rPr>
        <w:t xml:space="preserve"> o parte din bunurile sechestrate sunt folosite pentru repararea pagubei produse prin infracțiune și se restituie persoanei vătămate. </w:t>
      </w:r>
    </w:p>
    <w:p w14:paraId="12B6A2D4" w14:textId="77777777" w:rsidR="00D33EC3" w:rsidRDefault="00E30F5F" w:rsidP="00E2421E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asemenea, din analiza</w:t>
      </w:r>
      <w:r w:rsidR="00E2421E" w:rsidRPr="00AA1075">
        <w:rPr>
          <w:rFonts w:ascii="Verdana" w:hAnsi="Verdana"/>
          <w:sz w:val="20"/>
          <w:szCs w:val="20"/>
        </w:rPr>
        <w:t xml:space="preserve"> datelor statistice se observă că valoarea prejudiciil</w:t>
      </w:r>
      <w:r w:rsidR="003F212A">
        <w:rPr>
          <w:rFonts w:ascii="Verdana" w:hAnsi="Verdana"/>
          <w:sz w:val="20"/>
          <w:szCs w:val="20"/>
        </w:rPr>
        <w:t>or reținute în rechizitorii e</w:t>
      </w:r>
      <w:r w:rsidR="00E2421E" w:rsidRPr="00AA1075">
        <w:rPr>
          <w:rFonts w:ascii="Verdana" w:hAnsi="Verdana"/>
          <w:sz w:val="20"/>
          <w:szCs w:val="20"/>
        </w:rPr>
        <w:t xml:space="preserve"> mult mai mare decât valoar</w:t>
      </w:r>
      <w:r w:rsidR="003F212A">
        <w:rPr>
          <w:rFonts w:ascii="Verdana" w:hAnsi="Verdana"/>
          <w:sz w:val="20"/>
          <w:szCs w:val="20"/>
        </w:rPr>
        <w:t xml:space="preserve">ea bunurilor sechestrate. Asta se întâmplă deoarece </w:t>
      </w:r>
      <w:r w:rsidR="00E2421E" w:rsidRPr="00AA1075">
        <w:rPr>
          <w:rFonts w:ascii="Verdana" w:hAnsi="Verdana"/>
          <w:sz w:val="20"/>
          <w:szCs w:val="20"/>
        </w:rPr>
        <w:t xml:space="preserve">măsurile asiguratorii nu pot viza decât bunurile pe care le au persoana care a comis infracțiunea și, în unele cazuri, persoana responsabilă civilmente. În majoritatea cazurilor </w:t>
      </w:r>
      <w:r w:rsidR="00E2421E" w:rsidRPr="00AA1075">
        <w:rPr>
          <w:rFonts w:ascii="Verdana" w:hAnsi="Verdana"/>
          <w:b/>
          <w:sz w:val="20"/>
          <w:szCs w:val="20"/>
        </w:rPr>
        <w:t>bunurile găsite de organele judiciare</w:t>
      </w:r>
      <w:r w:rsidR="00E2421E" w:rsidRPr="00AA1075">
        <w:rPr>
          <w:rFonts w:ascii="Verdana" w:hAnsi="Verdana"/>
          <w:sz w:val="20"/>
          <w:szCs w:val="20"/>
        </w:rPr>
        <w:t xml:space="preserve"> </w:t>
      </w:r>
    </w:p>
    <w:p w14:paraId="78B4C1D7" w14:textId="35084509" w:rsidR="00D33EC3" w:rsidRDefault="008B7BE0" w:rsidP="00E2421E">
      <w:pPr>
        <w:spacing w:after="120"/>
        <w:rPr>
          <w:rFonts w:ascii="Verdana" w:hAnsi="Verdana"/>
          <w:sz w:val="20"/>
          <w:szCs w:val="20"/>
        </w:rPr>
      </w:pPr>
      <w:r w:rsidRPr="008B7BE0"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28E62" wp14:editId="103D4B13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5981700" cy="2238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7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2988"/>
                              <w:gridCol w:w="1620"/>
                              <w:gridCol w:w="1620"/>
                              <w:gridCol w:w="1620"/>
                              <w:gridCol w:w="1530"/>
                            </w:tblGrid>
                            <w:tr w:rsidR="008B7BE0" w:rsidRPr="008B7BE0" w14:paraId="14C92A15" w14:textId="77777777" w:rsidTr="008B7BE0">
                              <w:trPr>
                                <w:trHeight w:val="528"/>
                              </w:trPr>
                              <w:tc>
                                <w:tcPr>
                                  <w:tcW w:w="2988" w:type="dxa"/>
                                  <w:tcBorders>
                                    <w:top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8DB3E2" w:themeFill="tex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2DCA6BA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8DB3E2" w:themeFill="tex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5F4FF3F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2010</w:t>
                                  </w:r>
                                </w:p>
                                <w:p w14:paraId="22F0C6EA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RON/</w:t>
                                  </w: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8DB3E2" w:themeFill="tex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A0BCD3D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2011</w:t>
                                  </w:r>
                                </w:p>
                                <w:p w14:paraId="01CD428E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RON/</w:t>
                                  </w: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8DB3E2" w:themeFill="tex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A7EE733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2012</w:t>
                                  </w:r>
                                </w:p>
                                <w:p w14:paraId="3178706A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RON/</w:t>
                                  </w: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8DB3E2" w:themeFill="text2" w:themeFillTint="66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47D57AA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2013</w:t>
                                  </w:r>
                                </w:p>
                                <w:p w14:paraId="079907B4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RON/</w:t>
                                  </w: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9"/>
                                      <w:szCs w:val="19"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  <w:tr w:rsidR="008B7BE0" w:rsidRPr="008B7BE0" w14:paraId="324F3595" w14:textId="77777777" w:rsidTr="00A04A68">
                              <w:trPr>
                                <w:trHeight w:val="718"/>
                              </w:trPr>
                              <w:tc>
                                <w:tcPr>
                                  <w:tcW w:w="298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460291F" w14:textId="3756FC4A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Valoarea </w:t>
                                  </w: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prejudiciului</w:t>
                                  </w: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reţinut în rechizitoriu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7816344B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2.445.158.577</w:t>
                                  </w:r>
                                </w:p>
                                <w:p w14:paraId="06E11DA2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(580.811.557)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053A710C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3.227.646.119</w:t>
                                  </w:r>
                                </w:p>
                                <w:p w14:paraId="2E0F9EBF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(761.614.506)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2849C082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3.426.362.917</w:t>
                                  </w:r>
                                </w:p>
                                <w:p w14:paraId="306AFAC4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(768.932.432)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798AFB2F" w14:textId="77777777" w:rsidR="00A04A68" w:rsidRDefault="00A04A68" w:rsidP="00A04A68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41AF5C4" w14:textId="77777777" w:rsidR="008B7BE0" w:rsidRPr="008B7BE0" w:rsidRDefault="008B7BE0" w:rsidP="00A04A68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8.670.225.067</w:t>
                                  </w:r>
                                </w:p>
                                <w:p w14:paraId="69530E0F" w14:textId="77777777" w:rsidR="008B7BE0" w:rsidRPr="008B7BE0" w:rsidRDefault="008B7BE0" w:rsidP="00A04A68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(1.962.033.280)</w:t>
                                  </w:r>
                                </w:p>
                              </w:tc>
                            </w:tr>
                            <w:tr w:rsidR="008B7BE0" w:rsidRPr="008B7BE0" w14:paraId="6D6308ED" w14:textId="77777777" w:rsidTr="008B7BE0">
                              <w:trPr>
                                <w:trHeight w:val="862"/>
                              </w:trPr>
                              <w:tc>
                                <w:tcPr>
                                  <w:tcW w:w="298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3C770B1" w14:textId="1F196C2A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Valoarea bunurilor </w:t>
                                  </w: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sechestrate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353B0ECB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371.646.024</w:t>
                                  </w:r>
                                </w:p>
                                <w:p w14:paraId="35B34914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(88.279.062)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3A075B1C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1.024.979.707</w:t>
                                  </w:r>
                                </w:p>
                                <w:p w14:paraId="473F08A7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(241.860.286)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583BD372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1.869.681.989</w:t>
                                  </w:r>
                                </w:p>
                                <w:p w14:paraId="0A2BA205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(419.587.519)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1A8BA022" w14:textId="77777777" w:rsidR="00A04A68" w:rsidRDefault="00A04A68" w:rsidP="00A04A68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FCA22B3" w14:textId="77777777" w:rsidR="008B7BE0" w:rsidRPr="008B7BE0" w:rsidRDefault="008B7BE0" w:rsidP="00A04A68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1.920.392.286</w:t>
                                  </w:r>
                                </w:p>
                                <w:p w14:paraId="08A235B4" w14:textId="77777777" w:rsidR="008B7BE0" w:rsidRPr="008B7BE0" w:rsidRDefault="008B7BE0" w:rsidP="00A04A68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(434.576.213)</w:t>
                                  </w:r>
                                </w:p>
                                <w:p w14:paraId="51F2DF08" w14:textId="0A29A54B" w:rsidR="008B7BE0" w:rsidRPr="008B7BE0" w:rsidRDefault="008B7BE0" w:rsidP="00A04A68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8B7BE0" w:rsidRPr="008B7BE0" w14:paraId="0D3EC49C" w14:textId="77777777" w:rsidTr="00A04A68">
                              <w:trPr>
                                <w:trHeight w:val="682"/>
                              </w:trPr>
                              <w:tc>
                                <w:tcPr>
                                  <w:tcW w:w="298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B5A4FD5" w14:textId="7AB6F666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Valoarea bunurilor </w:t>
                                  </w:r>
                                  <w:r w:rsidRPr="008B7BE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confiscate</w:t>
                                  </w: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conform notificărilor trimise ANAF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22B548DE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7.053.914</w:t>
                                  </w:r>
                                </w:p>
                                <w:p w14:paraId="1FB91FC0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(1.675.553)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1C03DDF2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21.582.411</w:t>
                                  </w:r>
                                </w:p>
                                <w:p w14:paraId="5B66548B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(5.092.713)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7FC64B35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34.821.415</w:t>
                                  </w:r>
                                </w:p>
                                <w:p w14:paraId="754033FA" w14:textId="77777777" w:rsidR="008B7BE0" w:rsidRPr="008B7BE0" w:rsidRDefault="008B7BE0" w:rsidP="008B7BE0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(7.814.500)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756306FA" w14:textId="77777777" w:rsidR="00A04A68" w:rsidRDefault="00A04A68" w:rsidP="00A04A68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A4B0312" w14:textId="77777777" w:rsidR="008B7BE0" w:rsidRPr="008B7BE0" w:rsidRDefault="008B7BE0" w:rsidP="00A04A68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33.674.708</w:t>
                                  </w:r>
                                </w:p>
                                <w:p w14:paraId="1AC18602" w14:textId="77777777" w:rsidR="008B7BE0" w:rsidRPr="008B7BE0" w:rsidRDefault="008B7BE0" w:rsidP="00A04A68">
                                  <w:pPr>
                                    <w:spacing w:before="40" w:after="40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8B7BE0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(7.620.436)</w:t>
                                  </w:r>
                                </w:p>
                              </w:tc>
                            </w:tr>
                          </w:tbl>
                          <w:p w14:paraId="3A26F9EB" w14:textId="77777777" w:rsidR="00BA09A3" w:rsidRPr="00BA09A3" w:rsidRDefault="00BA09A3" w:rsidP="00BA09A3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A09A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Sursa</w:t>
                            </w:r>
                            <w:r w:rsidRPr="00BA09A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 Oficiul Național de Prevenire a Criminalității și Cooperare pentru Recuperarea Creanțelor provenite din Infracțiuni</w:t>
                            </w:r>
                          </w:p>
                          <w:p w14:paraId="6121EF40" w14:textId="45B37A35" w:rsidR="008B7BE0" w:rsidRDefault="008B7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.25pt;margin-top:0;width:471pt;height:1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" stroked="f">
                <v:textbox>
                  <w:txbxContent>
                    <w:tbl>
                      <w:tblPr>
                        <w:tblW w:w="9378" w:type="dxa"/>
                        <w:tblCellMar>
                          <w:left w:w="0" w:type="dxa"/>
                          <w:right w:w="0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2988"/>
                        <w:gridCol w:w="1620"/>
                        <w:gridCol w:w="1620"/>
                        <w:gridCol w:w="1620"/>
                        <w:gridCol w:w="1530"/>
                      </w:tblGrid>
                      <w:tr w:rsidR="008B7BE0" w:rsidRPr="008B7BE0" w14:paraId="14C92A15" w14:textId="77777777" w:rsidTr="008B7BE0">
                        <w:trPr>
                          <w:trHeight w:val="528"/>
                        </w:trPr>
                        <w:tc>
                          <w:tcPr>
                            <w:tcW w:w="2988" w:type="dxa"/>
                            <w:tcBorders>
                              <w:top w:val="single" w:sz="4" w:space="0" w:color="auto"/>
                              <w:bottom w:val="single" w:sz="8" w:space="0" w:color="000000"/>
                            </w:tcBorders>
                            <w:shd w:val="clear" w:color="auto" w:fill="8DB3E2" w:themeFill="tex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2DCA6BA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8DB3E2" w:themeFill="tex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5F4FF3F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2010</w:t>
                            </w:r>
                          </w:p>
                          <w:p w14:paraId="22F0C6EA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RON/</w:t>
                            </w: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8DB3E2" w:themeFill="tex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A0BCD3D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2011</w:t>
                            </w:r>
                          </w:p>
                          <w:p w14:paraId="01CD428E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RON/</w:t>
                            </w: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8DB3E2" w:themeFill="tex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A7EE733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2012</w:t>
                            </w:r>
                          </w:p>
                          <w:p w14:paraId="3178706A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RON/</w:t>
                            </w: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8DB3E2" w:themeFill="text2" w:themeFillTint="66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47D57AA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2013</w:t>
                            </w:r>
                          </w:p>
                          <w:p w14:paraId="079907B4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RON/</w:t>
                            </w: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EURO</w:t>
                            </w:r>
                          </w:p>
                        </w:tc>
                      </w:tr>
                      <w:tr w:rsidR="008B7BE0" w:rsidRPr="008B7BE0" w14:paraId="324F3595" w14:textId="77777777" w:rsidTr="00A04A68">
                        <w:trPr>
                          <w:trHeight w:val="718"/>
                        </w:trPr>
                        <w:tc>
                          <w:tcPr>
                            <w:tcW w:w="298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460291F" w14:textId="3756FC4A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Valoarea </w:t>
                            </w: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prejudiciului</w:t>
                            </w: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reţinut în rechizitoriu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7816344B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2.445.158.577</w:t>
                            </w:r>
                          </w:p>
                          <w:p w14:paraId="06E11DA2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(580.811.557)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053A710C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3.227.646.119</w:t>
                            </w:r>
                          </w:p>
                          <w:p w14:paraId="2E0F9EBF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(761.614.506)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849C082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3.426.362.917</w:t>
                            </w:r>
                          </w:p>
                          <w:p w14:paraId="306AFAC4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(768.932.432)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798AFB2F" w14:textId="77777777" w:rsidR="00A04A68" w:rsidRDefault="00A04A68" w:rsidP="00A04A68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141AF5C4" w14:textId="77777777" w:rsidR="008B7BE0" w:rsidRPr="008B7BE0" w:rsidRDefault="008B7BE0" w:rsidP="00A04A68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8.670.225.067</w:t>
                            </w:r>
                          </w:p>
                          <w:p w14:paraId="69530E0F" w14:textId="77777777" w:rsidR="008B7BE0" w:rsidRPr="008B7BE0" w:rsidRDefault="008B7BE0" w:rsidP="00A04A68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(1.962.033.280)</w:t>
                            </w:r>
                          </w:p>
                        </w:tc>
                      </w:tr>
                      <w:tr w:rsidR="008B7BE0" w:rsidRPr="008B7BE0" w14:paraId="6D6308ED" w14:textId="77777777" w:rsidTr="008B7BE0">
                        <w:trPr>
                          <w:trHeight w:val="862"/>
                        </w:trPr>
                        <w:tc>
                          <w:tcPr>
                            <w:tcW w:w="298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3C770B1" w14:textId="1F196C2A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Valoarea bunurilor </w:t>
                            </w: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sechestrate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353B0ECB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371.646.024</w:t>
                            </w:r>
                          </w:p>
                          <w:p w14:paraId="35B34914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(88.279.062)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3A075B1C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1.024.979.707</w:t>
                            </w:r>
                          </w:p>
                          <w:p w14:paraId="473F08A7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(241.860.286)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583BD372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1.869.681.989</w:t>
                            </w:r>
                          </w:p>
                          <w:p w14:paraId="0A2BA205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(419.587.519)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1A8BA022" w14:textId="77777777" w:rsidR="00A04A68" w:rsidRDefault="00A04A68" w:rsidP="00A04A68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7FCA22B3" w14:textId="77777777" w:rsidR="008B7BE0" w:rsidRPr="008B7BE0" w:rsidRDefault="008B7BE0" w:rsidP="00A04A68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1.920.392.286</w:t>
                            </w:r>
                          </w:p>
                          <w:p w14:paraId="08A235B4" w14:textId="77777777" w:rsidR="008B7BE0" w:rsidRPr="008B7BE0" w:rsidRDefault="008B7BE0" w:rsidP="00A04A68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(434.576.213)</w:t>
                            </w:r>
                          </w:p>
                          <w:p w14:paraId="51F2DF08" w14:textId="0A29A54B" w:rsidR="008B7BE0" w:rsidRPr="008B7BE0" w:rsidRDefault="008B7BE0" w:rsidP="00A04A68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8B7BE0" w:rsidRPr="008B7BE0" w14:paraId="0D3EC49C" w14:textId="77777777" w:rsidTr="00A04A68">
                        <w:trPr>
                          <w:trHeight w:val="682"/>
                        </w:trPr>
                        <w:tc>
                          <w:tcPr>
                            <w:tcW w:w="298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B5A4FD5" w14:textId="7AB6F666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Valoarea bunurilor </w:t>
                            </w:r>
                            <w:r w:rsidRPr="008B7BE0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confiscate</w:t>
                            </w: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conform notificărilor trimise ANAF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2B548DE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7.053.914</w:t>
                            </w:r>
                          </w:p>
                          <w:p w14:paraId="1FB91FC0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(1.675.553)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1C03DDF2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21.582.411</w:t>
                            </w:r>
                          </w:p>
                          <w:p w14:paraId="5B66548B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(5.092.713)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7FC64B35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34.821.415</w:t>
                            </w:r>
                          </w:p>
                          <w:p w14:paraId="754033FA" w14:textId="77777777" w:rsidR="008B7BE0" w:rsidRPr="008B7BE0" w:rsidRDefault="008B7BE0" w:rsidP="008B7BE0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(7.814.500)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756306FA" w14:textId="77777777" w:rsidR="00A04A68" w:rsidRDefault="00A04A68" w:rsidP="00A04A68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2A4B0312" w14:textId="77777777" w:rsidR="008B7BE0" w:rsidRPr="008B7BE0" w:rsidRDefault="008B7BE0" w:rsidP="00A04A68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33.674.708</w:t>
                            </w:r>
                          </w:p>
                          <w:p w14:paraId="1AC18602" w14:textId="77777777" w:rsidR="008B7BE0" w:rsidRPr="008B7BE0" w:rsidRDefault="008B7BE0" w:rsidP="00A04A68">
                            <w:pPr>
                              <w:spacing w:before="40" w:after="4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8B7BE0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(7.620.436)</w:t>
                            </w:r>
                          </w:p>
                        </w:tc>
                      </w:tr>
                    </w:tbl>
                    <w:p w14:paraId="3A26F9EB" w14:textId="77777777" w:rsidR="00BA09A3" w:rsidRPr="00BA09A3" w:rsidRDefault="00BA09A3" w:rsidP="00BA09A3">
                      <w:pPr>
                        <w:spacing w:after="12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BA09A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Sursa</w:t>
                      </w:r>
                      <w:r w:rsidRPr="00BA09A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 Oficiul Național de Prevenire a Criminalității și Cooperare pentru Recuperarea Creanțelor provenite din Infracțiuni</w:t>
                      </w:r>
                    </w:p>
                    <w:p w14:paraId="6121EF40" w14:textId="45B37A35" w:rsidR="008B7BE0" w:rsidRDefault="008B7BE0"/>
                  </w:txbxContent>
                </v:textbox>
              </v:shape>
            </w:pict>
          </mc:Fallback>
        </mc:AlternateContent>
      </w:r>
    </w:p>
    <w:p w14:paraId="497D4785" w14:textId="77777777" w:rsidR="00D33EC3" w:rsidRDefault="00D33EC3" w:rsidP="00E2421E">
      <w:pPr>
        <w:spacing w:after="120"/>
        <w:rPr>
          <w:rFonts w:ascii="Verdana" w:hAnsi="Verdana"/>
          <w:sz w:val="20"/>
          <w:szCs w:val="20"/>
        </w:rPr>
      </w:pPr>
    </w:p>
    <w:p w14:paraId="662DA13D" w14:textId="77777777" w:rsidR="00D33EC3" w:rsidRDefault="00D33EC3" w:rsidP="00E2421E">
      <w:pPr>
        <w:spacing w:after="120"/>
        <w:rPr>
          <w:rFonts w:ascii="Verdana" w:hAnsi="Verdana"/>
          <w:sz w:val="20"/>
          <w:szCs w:val="20"/>
        </w:rPr>
      </w:pPr>
    </w:p>
    <w:p w14:paraId="7F8F9EE3" w14:textId="77777777" w:rsidR="00D33EC3" w:rsidRDefault="00D33EC3" w:rsidP="00E2421E">
      <w:pPr>
        <w:spacing w:after="120"/>
        <w:rPr>
          <w:rFonts w:ascii="Verdana" w:hAnsi="Verdana"/>
          <w:sz w:val="20"/>
          <w:szCs w:val="20"/>
        </w:rPr>
      </w:pPr>
    </w:p>
    <w:p w14:paraId="43CF62BA" w14:textId="77777777" w:rsidR="00D33EC3" w:rsidRDefault="00D33EC3" w:rsidP="00E2421E">
      <w:pPr>
        <w:spacing w:after="120"/>
        <w:rPr>
          <w:rFonts w:ascii="Verdana" w:hAnsi="Verdana"/>
          <w:sz w:val="20"/>
          <w:szCs w:val="20"/>
        </w:rPr>
      </w:pPr>
    </w:p>
    <w:p w14:paraId="060B4195" w14:textId="77777777" w:rsidR="00D33EC3" w:rsidRDefault="00D33EC3" w:rsidP="00E2421E">
      <w:pPr>
        <w:spacing w:after="120"/>
        <w:rPr>
          <w:rFonts w:ascii="Verdana" w:hAnsi="Verdana"/>
          <w:sz w:val="20"/>
          <w:szCs w:val="20"/>
        </w:rPr>
      </w:pPr>
    </w:p>
    <w:p w14:paraId="375D4FB2" w14:textId="77777777" w:rsidR="008B7BE0" w:rsidRDefault="008B7BE0" w:rsidP="00E2421E">
      <w:pPr>
        <w:spacing w:after="120"/>
        <w:rPr>
          <w:rFonts w:ascii="Verdana" w:hAnsi="Verdana"/>
          <w:sz w:val="20"/>
          <w:szCs w:val="20"/>
        </w:rPr>
      </w:pPr>
    </w:p>
    <w:p w14:paraId="11C734F0" w14:textId="77777777" w:rsidR="008B7BE0" w:rsidRDefault="008B7BE0" w:rsidP="00E2421E">
      <w:pPr>
        <w:spacing w:after="120"/>
        <w:rPr>
          <w:rFonts w:ascii="Verdana" w:hAnsi="Verdana"/>
          <w:sz w:val="20"/>
          <w:szCs w:val="20"/>
        </w:rPr>
      </w:pPr>
    </w:p>
    <w:p w14:paraId="2246836D" w14:textId="77777777" w:rsidR="008B7BE0" w:rsidRDefault="008B7BE0" w:rsidP="00E2421E">
      <w:pPr>
        <w:spacing w:after="120"/>
        <w:rPr>
          <w:rFonts w:ascii="Verdana" w:hAnsi="Verdana"/>
          <w:sz w:val="20"/>
          <w:szCs w:val="20"/>
        </w:rPr>
      </w:pPr>
    </w:p>
    <w:p w14:paraId="0A844C23" w14:textId="77777777" w:rsidR="00BA09A3" w:rsidRDefault="00BA09A3" w:rsidP="00E2421E">
      <w:pPr>
        <w:spacing w:after="120"/>
        <w:rPr>
          <w:rFonts w:ascii="Verdana" w:hAnsi="Verdana"/>
          <w:sz w:val="20"/>
          <w:szCs w:val="20"/>
        </w:rPr>
      </w:pPr>
    </w:p>
    <w:p w14:paraId="4F409561" w14:textId="5D558626" w:rsidR="00F12536" w:rsidRDefault="00E2421E" w:rsidP="00E2421E">
      <w:pPr>
        <w:spacing w:after="12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 xml:space="preserve">cu privire la care se aplică măsuri asiguratorii </w:t>
      </w:r>
      <w:r w:rsidRPr="00AA1075">
        <w:rPr>
          <w:rFonts w:ascii="Verdana" w:hAnsi="Verdana"/>
          <w:b/>
          <w:sz w:val="20"/>
          <w:szCs w:val="20"/>
        </w:rPr>
        <w:t>sunt insuficiente pentru acoperirea integrală a prejudiciilor</w:t>
      </w:r>
      <w:r w:rsidRPr="00AA1075">
        <w:rPr>
          <w:rFonts w:ascii="Verdana" w:hAnsi="Verdana"/>
          <w:sz w:val="20"/>
          <w:szCs w:val="20"/>
        </w:rPr>
        <w:t xml:space="preserve"> cauzate prin conduita infracțională. </w:t>
      </w:r>
    </w:p>
    <w:p w14:paraId="7AAAF75E" w14:textId="77777777" w:rsidR="00F12536" w:rsidRDefault="003F212A" w:rsidP="00E2421E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Aici </w:t>
      </w:r>
      <w:r w:rsidR="00E2421E" w:rsidRPr="00AA1075">
        <w:rPr>
          <w:rFonts w:ascii="Verdana" w:hAnsi="Verdana"/>
          <w:sz w:val="20"/>
          <w:szCs w:val="20"/>
        </w:rPr>
        <w:t xml:space="preserve">practica organelor judiciare în privința urmăririi fluxurilor financiare legate de conduitele infracționale ar putea fi îmbunătățită. </w:t>
      </w:r>
      <w:r w:rsidR="00F12536">
        <w:rPr>
          <w:rFonts w:ascii="Verdana" w:hAnsi="Verdana"/>
          <w:sz w:val="20"/>
          <w:szCs w:val="20"/>
        </w:rPr>
        <w:t>N</w:t>
      </w:r>
      <w:r w:rsidR="00E2421E" w:rsidRPr="00AA1075">
        <w:rPr>
          <w:rFonts w:ascii="Verdana" w:hAnsi="Verdana"/>
          <w:sz w:val="20"/>
          <w:szCs w:val="20"/>
        </w:rPr>
        <w:t>evoia de investigatori financiari la n</w:t>
      </w:r>
      <w:r w:rsidR="00F12536">
        <w:rPr>
          <w:rFonts w:ascii="Verdana" w:hAnsi="Verdana"/>
          <w:sz w:val="20"/>
          <w:szCs w:val="20"/>
        </w:rPr>
        <w:t>ivelul organelor de parchet e</w:t>
      </w:r>
      <w:r w:rsidR="00E2421E" w:rsidRPr="00AA1075">
        <w:rPr>
          <w:rFonts w:ascii="Verdana" w:hAnsi="Verdana"/>
          <w:sz w:val="20"/>
          <w:szCs w:val="20"/>
        </w:rPr>
        <w:t xml:space="preserve"> una majoră, aceștia fiind pregătiți exact pentru a urmări firul banilor și pentru a identifica cât mai devreme în cursul anchetei bunurile care pot fi indisponibilizate fie în vederea recuperării prejudiciilor, fie în vederea confiscării. </w:t>
      </w:r>
    </w:p>
    <w:p w14:paraId="1BB57B31" w14:textId="44050F9E" w:rsidR="00E2421E" w:rsidRPr="00AA1075" w:rsidRDefault="00E2421E" w:rsidP="00E2421E">
      <w:pPr>
        <w:spacing w:after="12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 xml:space="preserve">Un alt element de </w:t>
      </w:r>
      <w:r w:rsidR="00F12536">
        <w:rPr>
          <w:rFonts w:ascii="Verdana" w:hAnsi="Verdana"/>
          <w:sz w:val="20"/>
          <w:szCs w:val="20"/>
        </w:rPr>
        <w:t>menționat e acela</w:t>
      </w:r>
      <w:r w:rsidRPr="00AA1075">
        <w:rPr>
          <w:rFonts w:ascii="Verdana" w:hAnsi="Verdana"/>
          <w:sz w:val="20"/>
          <w:szCs w:val="20"/>
        </w:rPr>
        <w:t xml:space="preserve"> că valoarea prejudiciilor se raportează la rechizitorii car</w:t>
      </w:r>
      <w:r w:rsidR="00F12536">
        <w:rPr>
          <w:rFonts w:ascii="Verdana" w:hAnsi="Verdana"/>
          <w:sz w:val="20"/>
          <w:szCs w:val="20"/>
        </w:rPr>
        <w:t xml:space="preserve">e sunt doar actul prin care e sesizată instanța, </w:t>
      </w:r>
      <w:r w:rsidRPr="00AA1075">
        <w:rPr>
          <w:rFonts w:ascii="Verdana" w:hAnsi="Verdana"/>
          <w:sz w:val="20"/>
          <w:szCs w:val="20"/>
        </w:rPr>
        <w:t>sing</w:t>
      </w:r>
      <w:r w:rsidR="00F12536">
        <w:rPr>
          <w:rFonts w:ascii="Verdana" w:hAnsi="Verdana"/>
          <w:sz w:val="20"/>
          <w:szCs w:val="20"/>
        </w:rPr>
        <w:t xml:space="preserve">ura în măsură să stabilească definitiv </w:t>
      </w:r>
      <w:r w:rsidRPr="00AA1075">
        <w:rPr>
          <w:rFonts w:ascii="Verdana" w:hAnsi="Verdana"/>
          <w:sz w:val="20"/>
          <w:szCs w:val="20"/>
        </w:rPr>
        <w:t xml:space="preserve">valoarea exactă a prejudiciului într-un anumit dosar. </w:t>
      </w:r>
      <w:r w:rsidR="00F12536">
        <w:rPr>
          <w:rFonts w:ascii="Verdana" w:hAnsi="Verdana"/>
          <w:sz w:val="20"/>
          <w:szCs w:val="20"/>
        </w:rPr>
        <w:t>Cea</w:t>
      </w:r>
      <w:r w:rsidRPr="00AA1075">
        <w:rPr>
          <w:rFonts w:ascii="Verdana" w:hAnsi="Verdana"/>
          <w:sz w:val="20"/>
          <w:szCs w:val="20"/>
        </w:rPr>
        <w:t xml:space="preserve"> indicată de procuror constituie doar un punct de plecare, judecătorul putând să o modifice în măsura în care din restul probatoriului administrat ajunge la concluzia că realitatea</w:t>
      </w:r>
      <w:r w:rsidR="00F12536">
        <w:rPr>
          <w:rFonts w:ascii="Verdana" w:hAnsi="Verdana"/>
          <w:sz w:val="20"/>
          <w:szCs w:val="20"/>
        </w:rPr>
        <w:t xml:space="preserve"> e alta</w:t>
      </w:r>
      <w:r w:rsidRPr="00AA1075">
        <w:rPr>
          <w:rFonts w:ascii="Verdana" w:hAnsi="Verdana"/>
          <w:sz w:val="20"/>
          <w:szCs w:val="20"/>
        </w:rPr>
        <w:t xml:space="preserve">. </w:t>
      </w:r>
      <w:r w:rsidR="00F12536">
        <w:rPr>
          <w:rFonts w:ascii="Verdana" w:hAnsi="Verdana"/>
          <w:sz w:val="20"/>
          <w:szCs w:val="20"/>
        </w:rPr>
        <w:t>T</w:t>
      </w:r>
      <w:r w:rsidRPr="00AA1075">
        <w:rPr>
          <w:rFonts w:ascii="Verdana" w:hAnsi="Verdana"/>
          <w:sz w:val="20"/>
          <w:szCs w:val="20"/>
        </w:rPr>
        <w:t xml:space="preserve">rebuie găsită o justă balanță între nevoia de a lămuri pe deplin aspectele financiare ale dosarelor penale, inclusiv prin expertize judiciare, și nevoia de a soluționa dosarele penale într-un timp rezonabil, mai ales </w:t>
      </w:r>
      <w:r w:rsidR="00F12536">
        <w:rPr>
          <w:rFonts w:ascii="Verdana" w:hAnsi="Verdana"/>
          <w:sz w:val="20"/>
          <w:szCs w:val="20"/>
        </w:rPr>
        <w:t>că</w:t>
      </w:r>
      <w:r w:rsidRPr="00AA1075">
        <w:rPr>
          <w:rFonts w:ascii="Verdana" w:hAnsi="Verdana"/>
          <w:sz w:val="20"/>
          <w:szCs w:val="20"/>
        </w:rPr>
        <w:t xml:space="preserve"> pedepsele au scăzut în noul Cod Penal și împreună cu ele și termenele de prescripție specială. </w:t>
      </w:r>
    </w:p>
    <w:p w14:paraId="34C2F181" w14:textId="77777777" w:rsidR="00BA09A3" w:rsidRDefault="00E2421E" w:rsidP="00E2421E">
      <w:pPr>
        <w:spacing w:after="12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 xml:space="preserve">Există o discuție interesantă </w:t>
      </w:r>
      <w:r w:rsidR="00F12536">
        <w:rPr>
          <w:rFonts w:ascii="Verdana" w:hAnsi="Verdana"/>
          <w:sz w:val="20"/>
          <w:szCs w:val="20"/>
        </w:rPr>
        <w:t>atunci când</w:t>
      </w:r>
      <w:r w:rsidR="000C5AB6">
        <w:rPr>
          <w:rFonts w:ascii="Verdana" w:hAnsi="Verdana"/>
          <w:sz w:val="20"/>
          <w:szCs w:val="20"/>
        </w:rPr>
        <w:t xml:space="preserve"> persoana vătămată e</w:t>
      </w:r>
      <w:r w:rsidRPr="00AA1075">
        <w:rPr>
          <w:rFonts w:ascii="Verdana" w:hAnsi="Verdana"/>
          <w:sz w:val="20"/>
          <w:szCs w:val="20"/>
        </w:rPr>
        <w:t xml:space="preserve"> o instituție sau o autoritate publică condusă chiar de persoana care a comis fapta penală, iar </w:t>
      </w:r>
      <w:r w:rsidR="000C5AB6">
        <w:rPr>
          <w:rFonts w:ascii="Verdana" w:hAnsi="Verdana"/>
          <w:sz w:val="20"/>
          <w:szCs w:val="20"/>
        </w:rPr>
        <w:t>în  procesul</w:t>
      </w:r>
      <w:r w:rsidRPr="00AA1075">
        <w:rPr>
          <w:rFonts w:ascii="Verdana" w:hAnsi="Verdana"/>
          <w:sz w:val="20"/>
          <w:szCs w:val="20"/>
        </w:rPr>
        <w:t xml:space="preserve"> penal entitatea publică nu solicită repararea pagubei. În trecut neconstituirea de parte civilă ridica semne </w:t>
      </w:r>
    </w:p>
    <w:p w14:paraId="64B159AC" w14:textId="77777777" w:rsidR="00BA09A3" w:rsidRDefault="00BA09A3" w:rsidP="00E2421E">
      <w:pPr>
        <w:spacing w:after="120"/>
        <w:rPr>
          <w:rFonts w:ascii="Verdana" w:hAnsi="Verdana"/>
          <w:sz w:val="20"/>
          <w:szCs w:val="20"/>
        </w:rPr>
      </w:pPr>
    </w:p>
    <w:p w14:paraId="02CA0EE1" w14:textId="77777777" w:rsidR="00BA09A3" w:rsidRDefault="00BA09A3" w:rsidP="00E2421E">
      <w:pPr>
        <w:spacing w:after="120"/>
        <w:rPr>
          <w:rFonts w:ascii="Verdana" w:hAnsi="Verdana"/>
          <w:sz w:val="20"/>
          <w:szCs w:val="20"/>
        </w:rPr>
      </w:pPr>
    </w:p>
    <w:p w14:paraId="1CA976BA" w14:textId="77777777" w:rsidR="00BA09A3" w:rsidRDefault="00BA09A3" w:rsidP="00E2421E">
      <w:pPr>
        <w:spacing w:after="120"/>
        <w:rPr>
          <w:rFonts w:ascii="Verdana" w:hAnsi="Verdana"/>
          <w:sz w:val="20"/>
          <w:szCs w:val="20"/>
        </w:rPr>
      </w:pPr>
    </w:p>
    <w:p w14:paraId="2C3C7EC3" w14:textId="77777777" w:rsidR="00BA09A3" w:rsidRDefault="00BA09A3" w:rsidP="00E2421E">
      <w:pPr>
        <w:spacing w:after="120"/>
        <w:rPr>
          <w:rFonts w:ascii="Verdana" w:hAnsi="Verdana"/>
          <w:sz w:val="20"/>
          <w:szCs w:val="20"/>
        </w:rPr>
      </w:pPr>
    </w:p>
    <w:p w14:paraId="27D7CA5F" w14:textId="77777777" w:rsidR="00BA09A3" w:rsidRDefault="00BA09A3" w:rsidP="00E2421E">
      <w:pPr>
        <w:spacing w:after="120"/>
        <w:rPr>
          <w:rFonts w:ascii="Verdana" w:hAnsi="Verdana"/>
          <w:sz w:val="20"/>
          <w:szCs w:val="20"/>
        </w:rPr>
      </w:pPr>
    </w:p>
    <w:p w14:paraId="1C7B5596" w14:textId="77777777" w:rsidR="00BA09A3" w:rsidRDefault="00BA09A3" w:rsidP="00E2421E">
      <w:pPr>
        <w:spacing w:after="120"/>
        <w:rPr>
          <w:rFonts w:ascii="Verdana" w:hAnsi="Verdana"/>
          <w:sz w:val="20"/>
          <w:szCs w:val="20"/>
        </w:rPr>
      </w:pPr>
    </w:p>
    <w:p w14:paraId="428F2260" w14:textId="77777777" w:rsidR="00BA09A3" w:rsidRDefault="00BA09A3" w:rsidP="00E2421E">
      <w:pPr>
        <w:spacing w:after="120"/>
        <w:rPr>
          <w:rFonts w:ascii="Verdana" w:hAnsi="Verdana"/>
          <w:sz w:val="20"/>
          <w:szCs w:val="20"/>
        </w:rPr>
      </w:pPr>
    </w:p>
    <w:p w14:paraId="08269046" w14:textId="77777777" w:rsidR="00BA09A3" w:rsidRDefault="00BA09A3" w:rsidP="00E2421E">
      <w:pPr>
        <w:spacing w:after="120"/>
        <w:rPr>
          <w:rFonts w:ascii="Verdana" w:hAnsi="Verdana"/>
          <w:sz w:val="20"/>
          <w:szCs w:val="20"/>
        </w:rPr>
      </w:pPr>
    </w:p>
    <w:p w14:paraId="4A798746" w14:textId="77777777" w:rsidR="00BA09A3" w:rsidRDefault="00BA09A3" w:rsidP="00E2421E">
      <w:pPr>
        <w:spacing w:after="120"/>
        <w:rPr>
          <w:rFonts w:ascii="Verdana" w:hAnsi="Verdana"/>
          <w:sz w:val="20"/>
          <w:szCs w:val="20"/>
        </w:rPr>
      </w:pPr>
    </w:p>
    <w:p w14:paraId="33476AF6" w14:textId="77777777" w:rsidR="00BA09A3" w:rsidRDefault="00BA09A3" w:rsidP="00E2421E">
      <w:pPr>
        <w:spacing w:after="120"/>
        <w:rPr>
          <w:rFonts w:ascii="Verdana" w:hAnsi="Verdana"/>
          <w:sz w:val="20"/>
          <w:szCs w:val="20"/>
        </w:rPr>
      </w:pPr>
    </w:p>
    <w:p w14:paraId="0864C27F" w14:textId="166E6D01" w:rsidR="000C5AB6" w:rsidRDefault="00E2421E" w:rsidP="00E2421E">
      <w:pPr>
        <w:spacing w:after="12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 xml:space="preserve">de întrebare în privința existenței sau </w:t>
      </w:r>
      <w:r w:rsidR="000C5AB6">
        <w:rPr>
          <w:rFonts w:ascii="Verdana" w:hAnsi="Verdana"/>
          <w:sz w:val="20"/>
          <w:szCs w:val="20"/>
        </w:rPr>
        <w:t>nu a</w:t>
      </w:r>
      <w:r w:rsidRPr="00AA1075">
        <w:rPr>
          <w:rFonts w:ascii="Verdana" w:hAnsi="Verdana"/>
          <w:sz w:val="20"/>
          <w:szCs w:val="20"/>
        </w:rPr>
        <w:t xml:space="preserve"> prejudiciului</w:t>
      </w:r>
      <w:r w:rsidR="000C5AB6">
        <w:rPr>
          <w:rFonts w:ascii="Verdana" w:hAnsi="Verdana"/>
          <w:sz w:val="20"/>
          <w:szCs w:val="20"/>
        </w:rPr>
        <w:t>,</w:t>
      </w:r>
      <w:r w:rsidRPr="00AA1075">
        <w:rPr>
          <w:rFonts w:ascii="Verdana" w:hAnsi="Verdana"/>
          <w:sz w:val="20"/>
          <w:szCs w:val="20"/>
        </w:rPr>
        <w:t xml:space="preserve"> mai ales la infracțiunile de prejudiciu unde acest </w:t>
      </w:r>
      <w:r w:rsidR="000C5AB6">
        <w:rPr>
          <w:rFonts w:ascii="Verdana" w:hAnsi="Verdana"/>
          <w:sz w:val="20"/>
          <w:szCs w:val="20"/>
        </w:rPr>
        <w:t>element e</w:t>
      </w:r>
      <w:r w:rsidRPr="00AA1075">
        <w:rPr>
          <w:rFonts w:ascii="Verdana" w:hAnsi="Verdana"/>
          <w:sz w:val="20"/>
          <w:szCs w:val="20"/>
        </w:rPr>
        <w:t xml:space="preserve"> esențial în determinarea conduitei infracționale. Au existat dosare celebre în care presa a scris despre ezitări sau chiar refuzuri de constituire de parte civilă</w:t>
      </w:r>
      <w:r w:rsidR="000C5AB6">
        <w:rPr>
          <w:rFonts w:ascii="Verdana" w:hAnsi="Verdana"/>
          <w:sz w:val="20"/>
          <w:szCs w:val="20"/>
        </w:rPr>
        <w:t>,</w:t>
      </w:r>
      <w:r w:rsidRPr="00AA1075">
        <w:rPr>
          <w:rFonts w:ascii="Verdana" w:hAnsi="Verdana"/>
          <w:sz w:val="20"/>
          <w:szCs w:val="20"/>
        </w:rPr>
        <w:t xml:space="preserve"> în încercarea de a ușura situația legală a unor persoane </w:t>
      </w:r>
      <w:r w:rsidR="000C5AB6">
        <w:rPr>
          <w:rFonts w:ascii="Verdana" w:hAnsi="Verdana"/>
          <w:sz w:val="20"/>
          <w:szCs w:val="20"/>
        </w:rPr>
        <w:t>importante puse sub acuzare</w:t>
      </w:r>
      <w:r w:rsidRPr="00AA1075">
        <w:rPr>
          <w:rFonts w:ascii="Verdana" w:hAnsi="Verdana"/>
          <w:sz w:val="20"/>
          <w:szCs w:val="20"/>
        </w:rPr>
        <w:t xml:space="preserve">. </w:t>
      </w:r>
    </w:p>
    <w:p w14:paraId="1C43D315" w14:textId="76821133" w:rsidR="00E2421E" w:rsidRDefault="00E2421E" w:rsidP="00E2421E">
      <w:pPr>
        <w:spacing w:after="120"/>
        <w:rPr>
          <w:rFonts w:ascii="Verdana" w:hAnsi="Verdana"/>
          <w:sz w:val="20"/>
          <w:szCs w:val="20"/>
        </w:rPr>
      </w:pPr>
      <w:r w:rsidRPr="00AA1075">
        <w:rPr>
          <w:rFonts w:ascii="Verdana" w:hAnsi="Verdana"/>
          <w:sz w:val="20"/>
          <w:szCs w:val="20"/>
        </w:rPr>
        <w:t>Practica a lămurit aceste aspecte stabilind ca lipsa de con</w:t>
      </w:r>
      <w:r w:rsidR="000C5AB6">
        <w:rPr>
          <w:rFonts w:ascii="Verdana" w:hAnsi="Verdana"/>
          <w:sz w:val="20"/>
          <w:szCs w:val="20"/>
        </w:rPr>
        <w:t>stituire de parte civilă nu e</w:t>
      </w:r>
      <w:r w:rsidRPr="00AA1075">
        <w:rPr>
          <w:rFonts w:ascii="Verdana" w:hAnsi="Verdana"/>
          <w:sz w:val="20"/>
          <w:szCs w:val="20"/>
        </w:rPr>
        <w:t xml:space="preserve"> determinantă în stabil</w:t>
      </w:r>
      <w:r w:rsidR="000C5AB6">
        <w:rPr>
          <w:rFonts w:ascii="Verdana" w:hAnsi="Verdana"/>
          <w:sz w:val="20"/>
          <w:szCs w:val="20"/>
        </w:rPr>
        <w:t>irea conduitei infracționale c</w:t>
      </w:r>
      <w:r w:rsidRPr="00AA1075">
        <w:rPr>
          <w:rFonts w:ascii="Verdana" w:hAnsi="Verdana"/>
          <w:sz w:val="20"/>
          <w:szCs w:val="20"/>
        </w:rPr>
        <w:t xml:space="preserve">e urmează a fi analizată de către instanța penală pe baza probelor aflate la dosar. </w:t>
      </w:r>
      <w:r w:rsidR="000C5AB6">
        <w:rPr>
          <w:rFonts w:ascii="Verdana" w:hAnsi="Verdana"/>
          <w:sz w:val="20"/>
          <w:szCs w:val="20"/>
        </w:rPr>
        <w:t>Dacă</w:t>
      </w:r>
      <w:r w:rsidRPr="00AA1075">
        <w:rPr>
          <w:rFonts w:ascii="Verdana" w:hAnsi="Verdana"/>
          <w:sz w:val="20"/>
          <w:szCs w:val="20"/>
        </w:rPr>
        <w:t xml:space="preserve"> o instituție sau autoritate publică a fost păgubită pr</w:t>
      </w:r>
      <w:r w:rsidR="00524D33">
        <w:rPr>
          <w:rFonts w:ascii="Verdana" w:hAnsi="Verdana"/>
          <w:sz w:val="20"/>
          <w:szCs w:val="20"/>
        </w:rPr>
        <w:t xml:space="preserve">in săvârșirea unei fapte penale </w:t>
      </w:r>
      <w:r w:rsidRPr="00AA1075">
        <w:rPr>
          <w:rFonts w:ascii="Verdana" w:hAnsi="Verdana"/>
          <w:sz w:val="20"/>
          <w:szCs w:val="20"/>
        </w:rPr>
        <w:t>iar aceasta nu solicită repararea pagubei</w:t>
      </w:r>
      <w:r w:rsidR="00524D33">
        <w:rPr>
          <w:rFonts w:ascii="Verdana" w:hAnsi="Verdana"/>
          <w:sz w:val="20"/>
          <w:szCs w:val="20"/>
        </w:rPr>
        <w:t>,</w:t>
      </w:r>
      <w:r w:rsidRPr="00AA1075">
        <w:rPr>
          <w:rFonts w:ascii="Verdana" w:hAnsi="Verdana"/>
          <w:sz w:val="20"/>
          <w:szCs w:val="20"/>
        </w:rPr>
        <w:t xml:space="preserve"> bunurile dobândite din infracțiune se vor confisca și </w:t>
      </w:r>
      <w:r w:rsidR="00524D33">
        <w:rPr>
          <w:rFonts w:ascii="Verdana" w:hAnsi="Verdana"/>
          <w:sz w:val="20"/>
          <w:szCs w:val="20"/>
        </w:rPr>
        <w:t xml:space="preserve">vor deveni </w:t>
      </w:r>
      <w:r w:rsidRPr="00AA1075">
        <w:rPr>
          <w:rFonts w:ascii="Verdana" w:hAnsi="Verdana"/>
          <w:sz w:val="20"/>
          <w:szCs w:val="20"/>
        </w:rPr>
        <w:t xml:space="preserve">venit la bugetul statului. </w:t>
      </w:r>
    </w:p>
    <w:p w14:paraId="541BDACD" w14:textId="2EF6634E" w:rsidR="00B305F6" w:rsidRPr="00B305F6" w:rsidRDefault="00B305F6" w:rsidP="00B305F6">
      <w:pPr>
        <w:spacing w:after="120"/>
        <w:rPr>
          <w:rFonts w:ascii="Verdana" w:hAnsi="Verdana"/>
          <w:sz w:val="20"/>
          <w:szCs w:val="20"/>
        </w:rPr>
      </w:pPr>
      <w:r w:rsidRPr="00B305F6">
        <w:rPr>
          <w:rFonts w:ascii="Verdana" w:hAnsi="Verdana"/>
          <w:sz w:val="20"/>
          <w:szCs w:val="20"/>
        </w:rPr>
        <w:t xml:space="preserve">Evoluția evidentă </w:t>
      </w:r>
      <w:r w:rsidR="00FB5773">
        <w:rPr>
          <w:rFonts w:ascii="Verdana" w:hAnsi="Verdana"/>
          <w:sz w:val="20"/>
          <w:szCs w:val="20"/>
        </w:rPr>
        <w:t>pe date statistice între 2010-</w:t>
      </w:r>
      <w:r w:rsidRPr="00B305F6">
        <w:rPr>
          <w:rFonts w:ascii="Verdana" w:hAnsi="Verdana"/>
          <w:sz w:val="20"/>
          <w:szCs w:val="20"/>
        </w:rPr>
        <w:t xml:space="preserve">2013 se datorează </w:t>
      </w:r>
      <w:r w:rsidR="00FB5773">
        <w:rPr>
          <w:rFonts w:ascii="Verdana" w:hAnsi="Verdana"/>
          <w:sz w:val="20"/>
          <w:szCs w:val="20"/>
        </w:rPr>
        <w:t>sporirii</w:t>
      </w:r>
      <w:r w:rsidRPr="00B305F6">
        <w:rPr>
          <w:rFonts w:ascii="Verdana" w:hAnsi="Verdana"/>
          <w:sz w:val="20"/>
          <w:szCs w:val="20"/>
        </w:rPr>
        <w:t xml:space="preserve"> importanței pe care reprezentanții sistemului judiciar o </w:t>
      </w:r>
      <w:r w:rsidR="00FB5773">
        <w:rPr>
          <w:rFonts w:ascii="Verdana" w:hAnsi="Verdana"/>
          <w:sz w:val="20"/>
          <w:szCs w:val="20"/>
        </w:rPr>
        <w:t>dau</w:t>
      </w:r>
      <w:r w:rsidRPr="00B305F6">
        <w:rPr>
          <w:rFonts w:ascii="Verdana" w:hAnsi="Verdana"/>
          <w:sz w:val="20"/>
          <w:szCs w:val="20"/>
        </w:rPr>
        <w:t xml:space="preserve"> nevoii de recuperare a bunurilor generate prin infracțiuni, </w:t>
      </w:r>
      <w:r w:rsidR="00FB5773">
        <w:rPr>
          <w:rFonts w:ascii="Verdana" w:hAnsi="Verdana"/>
          <w:sz w:val="20"/>
          <w:szCs w:val="20"/>
        </w:rPr>
        <w:t>dar</w:t>
      </w:r>
      <w:r w:rsidRPr="00B305F6">
        <w:rPr>
          <w:rFonts w:ascii="Verdana" w:hAnsi="Verdana"/>
          <w:sz w:val="20"/>
          <w:szCs w:val="20"/>
        </w:rPr>
        <w:t xml:space="preserve"> și înființării în 2011 la nivelul Ministerului J</w:t>
      </w:r>
      <w:r w:rsidR="00FB5773">
        <w:rPr>
          <w:rFonts w:ascii="Verdana" w:hAnsi="Verdana"/>
          <w:sz w:val="20"/>
          <w:szCs w:val="20"/>
        </w:rPr>
        <w:t xml:space="preserve">ustiției a unui Oficiu cu </w:t>
      </w:r>
      <w:r w:rsidRPr="00B305F6">
        <w:rPr>
          <w:rFonts w:ascii="Verdana" w:hAnsi="Verdana"/>
          <w:sz w:val="20"/>
          <w:szCs w:val="20"/>
        </w:rPr>
        <w:t xml:space="preserve">rol de susținere a sistemului judiciar în această materie. Oficiul </w:t>
      </w:r>
      <w:r w:rsidR="00FB5773">
        <w:rPr>
          <w:rFonts w:ascii="Verdana" w:hAnsi="Verdana"/>
          <w:sz w:val="20"/>
          <w:szCs w:val="20"/>
        </w:rPr>
        <w:t>este o</w:t>
      </w:r>
      <w:r w:rsidRPr="00B305F6">
        <w:rPr>
          <w:rFonts w:ascii="Verdana" w:hAnsi="Verdana"/>
          <w:sz w:val="20"/>
          <w:szCs w:val="20"/>
        </w:rPr>
        <w:t xml:space="preserve"> instituție de leg</w:t>
      </w:r>
      <w:r w:rsidR="00FB5773">
        <w:rPr>
          <w:rFonts w:ascii="Verdana" w:hAnsi="Verdana"/>
          <w:sz w:val="20"/>
          <w:szCs w:val="20"/>
        </w:rPr>
        <w:t>ătură între statele membre UE (</w:t>
      </w:r>
      <w:r w:rsidRPr="00B305F6">
        <w:rPr>
          <w:rFonts w:ascii="Verdana" w:hAnsi="Verdana"/>
          <w:sz w:val="20"/>
          <w:szCs w:val="20"/>
        </w:rPr>
        <w:t xml:space="preserve">Decizia nr. 845/2007 privind cooperarea dintre oficiile de recuperare a creanţelor din statele membre în </w:t>
      </w:r>
      <w:r w:rsidR="00FB5773">
        <w:rPr>
          <w:rFonts w:ascii="Verdana" w:hAnsi="Verdana"/>
          <w:sz w:val="20"/>
          <w:szCs w:val="20"/>
        </w:rPr>
        <w:t>urmărirea şi identificarea</w:t>
      </w:r>
      <w:r w:rsidRPr="00B305F6">
        <w:rPr>
          <w:rFonts w:ascii="Verdana" w:hAnsi="Verdana"/>
          <w:sz w:val="20"/>
          <w:szCs w:val="20"/>
        </w:rPr>
        <w:t xml:space="preserve"> produselor provenite din </w:t>
      </w:r>
      <w:r w:rsidR="00FB5773">
        <w:rPr>
          <w:rFonts w:ascii="Verdana" w:hAnsi="Verdana"/>
          <w:sz w:val="20"/>
          <w:szCs w:val="20"/>
        </w:rPr>
        <w:t xml:space="preserve">infracţiuni sau </w:t>
      </w:r>
      <w:r w:rsidRPr="00B305F6">
        <w:rPr>
          <w:rFonts w:ascii="Verdana" w:hAnsi="Verdana"/>
          <w:sz w:val="20"/>
          <w:szCs w:val="20"/>
        </w:rPr>
        <w:t xml:space="preserve">altor bunuri </w:t>
      </w:r>
      <w:r w:rsidR="00FB5773">
        <w:rPr>
          <w:rFonts w:ascii="Verdana" w:hAnsi="Verdana"/>
          <w:sz w:val="20"/>
          <w:szCs w:val="20"/>
        </w:rPr>
        <w:t>în</w:t>
      </w:r>
      <w:r w:rsidRPr="00B305F6">
        <w:rPr>
          <w:rFonts w:ascii="Verdana" w:hAnsi="Verdana"/>
          <w:sz w:val="20"/>
          <w:szCs w:val="20"/>
        </w:rPr>
        <w:t xml:space="preserve"> legătură cu infracţiunile</w:t>
      </w:r>
      <w:r w:rsidR="00FB5773">
        <w:rPr>
          <w:rFonts w:ascii="Verdana" w:hAnsi="Verdana"/>
          <w:sz w:val="20"/>
          <w:szCs w:val="20"/>
        </w:rPr>
        <w:t>)</w:t>
      </w:r>
      <w:r w:rsidRPr="00B305F6">
        <w:rPr>
          <w:rFonts w:ascii="Verdana" w:hAnsi="Verdana"/>
          <w:sz w:val="20"/>
          <w:szCs w:val="20"/>
        </w:rPr>
        <w:t xml:space="preserve">. Prin </w:t>
      </w:r>
      <w:r w:rsidR="00FB5773">
        <w:rPr>
          <w:rFonts w:ascii="Verdana" w:hAnsi="Verdana"/>
          <w:sz w:val="20"/>
          <w:szCs w:val="20"/>
        </w:rPr>
        <w:t>aceste</w:t>
      </w:r>
      <w:r w:rsidRPr="00B305F6">
        <w:rPr>
          <w:rFonts w:ascii="Verdana" w:hAnsi="Verdana"/>
          <w:sz w:val="20"/>
          <w:szCs w:val="20"/>
        </w:rPr>
        <w:t xml:space="preserve"> rețele</w:t>
      </w:r>
      <w:r w:rsidR="00FB5773">
        <w:rPr>
          <w:rFonts w:ascii="Verdana" w:hAnsi="Verdana"/>
          <w:sz w:val="20"/>
          <w:szCs w:val="20"/>
        </w:rPr>
        <w:t>le</w:t>
      </w:r>
      <w:r w:rsidRPr="00B305F6">
        <w:rPr>
          <w:rFonts w:ascii="Verdana" w:hAnsi="Verdana"/>
          <w:sz w:val="20"/>
          <w:szCs w:val="20"/>
        </w:rPr>
        <w:t xml:space="preserve"> internaționale Oficiul pune la dispoziția </w:t>
      </w:r>
      <w:r w:rsidR="00FB5773">
        <w:rPr>
          <w:rFonts w:ascii="Verdana" w:hAnsi="Verdana"/>
          <w:sz w:val="20"/>
          <w:szCs w:val="20"/>
        </w:rPr>
        <w:t>anchetatorilor</w:t>
      </w:r>
      <w:r w:rsidRPr="00B305F6">
        <w:rPr>
          <w:rFonts w:ascii="Verdana" w:hAnsi="Verdana"/>
          <w:sz w:val="20"/>
          <w:szCs w:val="20"/>
        </w:rPr>
        <w:t xml:space="preserve"> români date utile în i</w:t>
      </w:r>
      <w:r w:rsidR="00FB5773">
        <w:rPr>
          <w:rFonts w:ascii="Verdana" w:hAnsi="Verdana"/>
          <w:sz w:val="20"/>
          <w:szCs w:val="20"/>
        </w:rPr>
        <w:t xml:space="preserve">nvestigațiile financiare </w:t>
      </w:r>
      <w:r w:rsidRPr="00B305F6">
        <w:rPr>
          <w:rFonts w:ascii="Verdana" w:hAnsi="Verdana"/>
          <w:sz w:val="20"/>
          <w:szCs w:val="20"/>
        </w:rPr>
        <w:t xml:space="preserve">relativ </w:t>
      </w:r>
      <w:r w:rsidR="00FB5773">
        <w:rPr>
          <w:rFonts w:ascii="Verdana" w:hAnsi="Verdana"/>
          <w:sz w:val="20"/>
          <w:szCs w:val="20"/>
        </w:rPr>
        <w:t>prompt</w:t>
      </w:r>
      <w:r w:rsidRPr="00B305F6">
        <w:rPr>
          <w:rFonts w:ascii="Verdana" w:hAnsi="Verdana"/>
          <w:sz w:val="20"/>
          <w:szCs w:val="20"/>
        </w:rPr>
        <w:t>.</w:t>
      </w:r>
    </w:p>
    <w:p w14:paraId="14CE6FEE" w14:textId="77777777" w:rsidR="005D5B83" w:rsidRDefault="00B305F6" w:rsidP="00B305F6">
      <w:pPr>
        <w:spacing w:after="120"/>
        <w:rPr>
          <w:rFonts w:ascii="Verdana" w:hAnsi="Verdana"/>
          <w:sz w:val="20"/>
          <w:szCs w:val="20"/>
        </w:rPr>
      </w:pPr>
      <w:r w:rsidRPr="00B305F6">
        <w:rPr>
          <w:rFonts w:ascii="Verdana" w:hAnsi="Verdana"/>
          <w:sz w:val="20"/>
          <w:szCs w:val="20"/>
        </w:rPr>
        <w:t xml:space="preserve">Oficiul și-a propus consolidarea informațiilor cu privire la bunurile care au </w:t>
      </w:r>
      <w:r w:rsidRPr="00B305F6">
        <w:rPr>
          <w:rFonts w:ascii="Verdana" w:hAnsi="Verdana"/>
          <w:sz w:val="20"/>
          <w:szCs w:val="20"/>
        </w:rPr>
        <w:lastRenderedPageBreak/>
        <w:t xml:space="preserve">legătură cu infracțiunile și pentru prima dată în România a produs un tabelul comparativ prezentat mai sus. </w:t>
      </w:r>
      <w:r w:rsidR="00FB5773">
        <w:rPr>
          <w:rFonts w:ascii="Verdana" w:hAnsi="Verdana"/>
          <w:sz w:val="20"/>
          <w:szCs w:val="20"/>
        </w:rPr>
        <w:t>El</w:t>
      </w:r>
      <w:r w:rsidRPr="00B305F6">
        <w:rPr>
          <w:rFonts w:ascii="Verdana" w:hAnsi="Verdana"/>
          <w:sz w:val="20"/>
          <w:szCs w:val="20"/>
        </w:rPr>
        <w:t xml:space="preserve"> constituie un prim pas în conștientizarea stadiului la care se află astăzi România în această materie și </w:t>
      </w:r>
      <w:r w:rsidRPr="00FB5773">
        <w:rPr>
          <w:rFonts w:ascii="Verdana" w:hAnsi="Verdana"/>
          <w:sz w:val="20"/>
          <w:szCs w:val="20"/>
        </w:rPr>
        <w:t>ar putea fi completat</w:t>
      </w:r>
      <w:r w:rsidRPr="00B305F6">
        <w:rPr>
          <w:rFonts w:ascii="Verdana" w:hAnsi="Verdana"/>
          <w:sz w:val="20"/>
          <w:szCs w:val="20"/>
        </w:rPr>
        <w:t xml:space="preserve"> cu informații referitoare la valoarea exactă a sumelor aduse la bugetul de stat ca urmare a </w:t>
      </w:r>
      <w:r w:rsidRPr="00B305F6">
        <w:rPr>
          <w:rFonts w:ascii="Verdana" w:hAnsi="Verdana"/>
          <w:b/>
          <w:sz w:val="20"/>
          <w:szCs w:val="20"/>
        </w:rPr>
        <w:t>punerii în executare a deciziilor judecătorești definitive de confiscare de către ANAF</w:t>
      </w:r>
      <w:r w:rsidRPr="00B305F6">
        <w:rPr>
          <w:rFonts w:ascii="Verdana" w:hAnsi="Verdana"/>
          <w:sz w:val="20"/>
          <w:szCs w:val="20"/>
        </w:rPr>
        <w:t xml:space="preserve">. </w:t>
      </w:r>
    </w:p>
    <w:p w14:paraId="4BA5D29F" w14:textId="3AAEAE17" w:rsidR="00B305F6" w:rsidRPr="00B305F6" w:rsidRDefault="005D5B83" w:rsidP="00B305F6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B305F6" w:rsidRPr="00B305F6">
        <w:rPr>
          <w:rFonts w:ascii="Verdana" w:hAnsi="Verdana"/>
          <w:sz w:val="20"/>
          <w:szCs w:val="20"/>
        </w:rPr>
        <w:t xml:space="preserve">ata mică a punerii în executare a </w:t>
      </w:r>
      <w:r>
        <w:rPr>
          <w:rFonts w:ascii="Verdana" w:hAnsi="Verdana"/>
          <w:sz w:val="20"/>
          <w:szCs w:val="20"/>
        </w:rPr>
        <w:t xml:space="preserve">de către ANAF a </w:t>
      </w:r>
      <w:r w:rsidR="00B305F6" w:rsidRPr="00B305F6">
        <w:rPr>
          <w:rFonts w:ascii="Verdana" w:hAnsi="Verdana"/>
          <w:sz w:val="20"/>
          <w:szCs w:val="20"/>
        </w:rPr>
        <w:t xml:space="preserve">deciziilor definitive de confiscare e un motiv de îngrijorare atât pentru reprezentanți ai sistemului judiciar, cât și pentru observatori externi. </w:t>
      </w:r>
      <w:r>
        <w:rPr>
          <w:rFonts w:ascii="Verdana" w:hAnsi="Verdana"/>
          <w:sz w:val="20"/>
          <w:szCs w:val="20"/>
        </w:rPr>
        <w:t>S</w:t>
      </w:r>
      <w:r w:rsidR="00B305F6" w:rsidRPr="00B305F6">
        <w:rPr>
          <w:rFonts w:ascii="Verdana" w:hAnsi="Verdana"/>
          <w:sz w:val="20"/>
          <w:szCs w:val="20"/>
        </w:rPr>
        <w:t>e invocă deficiențe procedurale legate de responsabilitățile actor</w:t>
      </w:r>
      <w:r>
        <w:rPr>
          <w:rFonts w:ascii="Verdana" w:hAnsi="Verdana"/>
          <w:sz w:val="20"/>
          <w:szCs w:val="20"/>
        </w:rPr>
        <w:t>ilor</w:t>
      </w:r>
      <w:r w:rsidR="00B305F6" w:rsidRPr="00B305F6">
        <w:rPr>
          <w:rFonts w:ascii="Verdana" w:hAnsi="Verdana"/>
          <w:sz w:val="20"/>
          <w:szCs w:val="20"/>
        </w:rPr>
        <w:t xml:space="preserve"> instituțional în procedura punerii în executare a deciziilor definitive. Au existat și discuții legate de prescriptibilitatea sau </w:t>
      </w:r>
      <w:r>
        <w:rPr>
          <w:rFonts w:ascii="Verdana" w:hAnsi="Verdana"/>
          <w:sz w:val="20"/>
          <w:szCs w:val="20"/>
        </w:rPr>
        <w:t>nu a</w:t>
      </w:r>
      <w:r w:rsidR="00B305F6" w:rsidRPr="00B305F6">
        <w:rPr>
          <w:rFonts w:ascii="Verdana" w:hAnsi="Verdana"/>
          <w:sz w:val="20"/>
          <w:szCs w:val="20"/>
        </w:rPr>
        <w:t xml:space="preserve"> punerii în e</w:t>
      </w:r>
      <w:r>
        <w:rPr>
          <w:rFonts w:ascii="Verdana" w:hAnsi="Verdana"/>
          <w:sz w:val="20"/>
          <w:szCs w:val="20"/>
        </w:rPr>
        <w:t>xecutare a măsurii confiscării,</w:t>
      </w:r>
      <w:r w:rsidR="00B305F6" w:rsidRPr="00B305F6">
        <w:rPr>
          <w:rFonts w:ascii="Verdana" w:hAnsi="Verdana"/>
          <w:sz w:val="20"/>
          <w:szCs w:val="20"/>
        </w:rPr>
        <w:t xml:space="preserve"> discuții finalizate în sensul imprescriptibilității. </w:t>
      </w:r>
      <w:r w:rsidR="00B305F6" w:rsidRPr="005D5B83">
        <w:rPr>
          <w:rFonts w:ascii="Verdana" w:hAnsi="Verdana"/>
          <w:sz w:val="20"/>
          <w:szCs w:val="20"/>
        </w:rPr>
        <w:t>Este urgent să se elimine aceste deficiențe procedurale pentru că nepunerea în executare a deciziilor de confiscare elimină un element esențial al deciziilor de condamnare.</w:t>
      </w:r>
      <w:r w:rsidR="00B305F6" w:rsidRPr="00B305F6">
        <w:rPr>
          <w:rFonts w:ascii="Verdana" w:hAnsi="Verdana"/>
          <w:b/>
          <w:sz w:val="20"/>
          <w:szCs w:val="20"/>
        </w:rPr>
        <w:t xml:space="preserve"> Este inacceptabil ca prin </w:t>
      </w:r>
      <w:r>
        <w:rPr>
          <w:rFonts w:ascii="Verdana" w:hAnsi="Verdana"/>
          <w:b/>
          <w:sz w:val="20"/>
          <w:szCs w:val="20"/>
        </w:rPr>
        <w:t>(in)acţiunea</w:t>
      </w:r>
      <w:r w:rsidR="00B305F6" w:rsidRPr="00B305F6">
        <w:rPr>
          <w:rFonts w:ascii="Verdana" w:hAnsi="Verdana"/>
          <w:b/>
          <w:sz w:val="20"/>
          <w:szCs w:val="20"/>
        </w:rPr>
        <w:t xml:space="preserve"> unei instituții executive să se altereze o decizie definitivă a puterii judecătorești. </w:t>
      </w:r>
    </w:p>
    <w:p w14:paraId="40967D95" w14:textId="77777777" w:rsidR="001D37C5" w:rsidRDefault="005D5B83" w:rsidP="00B305F6">
      <w:pPr>
        <w:spacing w:after="120"/>
        <w:rPr>
          <w:rFonts w:ascii="Verdana" w:hAnsi="Verdana"/>
          <w:sz w:val="20"/>
          <w:szCs w:val="20"/>
        </w:rPr>
      </w:pPr>
      <w:r w:rsidRPr="005D5B83">
        <w:rPr>
          <w:rFonts w:ascii="Verdana" w:hAnsi="Verdana"/>
          <w:sz w:val="20"/>
          <w:szCs w:val="20"/>
        </w:rPr>
        <w:t>In plus,</w:t>
      </w:r>
      <w:r>
        <w:rPr>
          <w:rFonts w:ascii="Verdana" w:hAnsi="Verdana"/>
          <w:b/>
          <w:sz w:val="20"/>
          <w:szCs w:val="20"/>
        </w:rPr>
        <w:t xml:space="preserve"> </w:t>
      </w:r>
      <w:r w:rsidR="00B305F6" w:rsidRPr="00B305F6">
        <w:rPr>
          <w:rFonts w:ascii="Verdana" w:hAnsi="Verdana"/>
          <w:b/>
          <w:sz w:val="20"/>
          <w:szCs w:val="20"/>
        </w:rPr>
        <w:t>România are nevoie de o entitate care să administreze bunurile puse sub sechestru</w:t>
      </w:r>
      <w:r w:rsidR="00B305F6" w:rsidRPr="00B305F6">
        <w:rPr>
          <w:rFonts w:ascii="Verdana" w:hAnsi="Verdana"/>
          <w:sz w:val="20"/>
          <w:szCs w:val="20"/>
        </w:rPr>
        <w:t>. În prezent aceste bunuri se depreciază pe durata procedurilor judiciare</w:t>
      </w:r>
      <w:r>
        <w:rPr>
          <w:rFonts w:ascii="Verdana" w:hAnsi="Verdana"/>
          <w:sz w:val="20"/>
          <w:szCs w:val="20"/>
        </w:rPr>
        <w:t>,</w:t>
      </w:r>
      <w:r w:rsidR="00B305F6" w:rsidRPr="00B305F6">
        <w:rPr>
          <w:rFonts w:ascii="Verdana" w:hAnsi="Verdana"/>
          <w:sz w:val="20"/>
          <w:szCs w:val="20"/>
        </w:rPr>
        <w:t xml:space="preserve"> pierzându-și din valoare. </w:t>
      </w:r>
      <w:r>
        <w:rPr>
          <w:rFonts w:ascii="Verdana" w:hAnsi="Verdana"/>
          <w:sz w:val="20"/>
          <w:szCs w:val="20"/>
        </w:rPr>
        <w:t>Bunurile</w:t>
      </w:r>
      <w:r w:rsidR="00B305F6" w:rsidRPr="00B305F6">
        <w:rPr>
          <w:rFonts w:ascii="Verdana" w:hAnsi="Verdana"/>
          <w:sz w:val="20"/>
          <w:szCs w:val="20"/>
        </w:rPr>
        <w:t xml:space="preserve"> mobile</w:t>
      </w:r>
      <w:r>
        <w:rPr>
          <w:rFonts w:ascii="Verdana" w:hAnsi="Verdana"/>
          <w:sz w:val="20"/>
          <w:szCs w:val="20"/>
        </w:rPr>
        <w:t xml:space="preserve"> depozitate în condiții</w:t>
      </w:r>
      <w:r w:rsidR="00B305F6" w:rsidRPr="00B305F6">
        <w:rPr>
          <w:rFonts w:ascii="Verdana" w:hAnsi="Verdana"/>
          <w:sz w:val="20"/>
          <w:szCs w:val="20"/>
        </w:rPr>
        <w:t xml:space="preserve"> improprii </w:t>
      </w:r>
      <w:r>
        <w:rPr>
          <w:rFonts w:ascii="Verdana" w:hAnsi="Verdana"/>
          <w:sz w:val="20"/>
          <w:szCs w:val="20"/>
        </w:rPr>
        <w:t>sau</w:t>
      </w:r>
      <w:r w:rsidR="00B305F6" w:rsidRPr="00B305F6">
        <w:rPr>
          <w:rFonts w:ascii="Verdana" w:hAnsi="Verdana"/>
          <w:sz w:val="20"/>
          <w:szCs w:val="20"/>
        </w:rPr>
        <w:t xml:space="preserve"> uzura morală corespunzătoare duratei procedurilor judiciare fac aproape imposibilă recuperarea prejudiciului generat prin infracțiune. </w:t>
      </w:r>
      <w:r>
        <w:rPr>
          <w:rFonts w:ascii="Verdana" w:hAnsi="Verdana"/>
          <w:sz w:val="20"/>
          <w:szCs w:val="20"/>
        </w:rPr>
        <w:t>Bunurile</w:t>
      </w:r>
      <w:r w:rsidR="00B305F6" w:rsidRPr="00B305F6">
        <w:rPr>
          <w:rFonts w:ascii="Verdana" w:hAnsi="Verdana"/>
          <w:sz w:val="20"/>
          <w:szCs w:val="20"/>
        </w:rPr>
        <w:t xml:space="preserve"> imobile </w:t>
      </w:r>
      <w:r>
        <w:rPr>
          <w:rFonts w:ascii="Verdana" w:hAnsi="Verdana"/>
          <w:sz w:val="20"/>
          <w:szCs w:val="20"/>
        </w:rPr>
        <w:t>rămân</w:t>
      </w:r>
      <w:r w:rsidR="00B305F6" w:rsidRPr="00B305F6">
        <w:rPr>
          <w:rFonts w:ascii="Verdana" w:hAnsi="Verdana"/>
          <w:sz w:val="20"/>
          <w:szCs w:val="20"/>
        </w:rPr>
        <w:t xml:space="preserve"> în majoritatea cazurilor în administrarea persoanelor trimise în judecată</w:t>
      </w:r>
      <w:r>
        <w:rPr>
          <w:rFonts w:ascii="Verdana" w:hAnsi="Verdana"/>
          <w:sz w:val="20"/>
          <w:szCs w:val="20"/>
        </w:rPr>
        <w:t>,</w:t>
      </w:r>
      <w:r w:rsidR="00B305F6" w:rsidRPr="00B305F6">
        <w:rPr>
          <w:rFonts w:ascii="Verdana" w:hAnsi="Verdana"/>
          <w:sz w:val="20"/>
          <w:szCs w:val="20"/>
        </w:rPr>
        <w:t xml:space="preserve"> care nu au interesul de a le menține în bună stare pentru că anticipează riscul de a fi deposedate de respectivele bunuri. </w:t>
      </w:r>
    </w:p>
    <w:p w14:paraId="338E0A09" w14:textId="45FC45CC" w:rsidR="00B305F6" w:rsidRPr="00B305F6" w:rsidRDefault="00B305F6" w:rsidP="00B305F6">
      <w:pPr>
        <w:spacing w:after="120"/>
        <w:rPr>
          <w:rFonts w:ascii="Verdana" w:hAnsi="Verdana"/>
          <w:sz w:val="20"/>
          <w:szCs w:val="20"/>
        </w:rPr>
      </w:pPr>
      <w:r w:rsidRPr="00B305F6">
        <w:rPr>
          <w:rFonts w:ascii="Verdana" w:hAnsi="Verdana"/>
          <w:sz w:val="20"/>
          <w:szCs w:val="20"/>
        </w:rPr>
        <w:t xml:space="preserve">În </w:t>
      </w:r>
      <w:r w:rsidR="005D5B83">
        <w:rPr>
          <w:rFonts w:ascii="Verdana" w:hAnsi="Verdana"/>
          <w:sz w:val="20"/>
          <w:szCs w:val="20"/>
        </w:rPr>
        <w:t xml:space="preserve">cazul societăților comerciale, </w:t>
      </w:r>
      <w:r w:rsidRPr="00B305F6">
        <w:rPr>
          <w:rFonts w:ascii="Verdana" w:hAnsi="Verdana"/>
          <w:sz w:val="20"/>
          <w:szCs w:val="20"/>
        </w:rPr>
        <w:t xml:space="preserve">buna practică internațională arată că ar trebui numit un administator care să ia toate măsurile necesare pentru a conserva sau a le crește valoarea de piață. În lipsa unei entități </w:t>
      </w:r>
      <w:r w:rsidR="001D37C5">
        <w:rPr>
          <w:rFonts w:ascii="Verdana" w:hAnsi="Verdana"/>
          <w:sz w:val="20"/>
          <w:szCs w:val="20"/>
        </w:rPr>
        <w:t>cu competență</w:t>
      </w:r>
      <w:r w:rsidRPr="00B305F6">
        <w:rPr>
          <w:rFonts w:ascii="Verdana" w:hAnsi="Verdana"/>
          <w:sz w:val="20"/>
          <w:szCs w:val="20"/>
        </w:rPr>
        <w:t xml:space="preserve"> legală clară de a administra bunurile sechestrate</w:t>
      </w:r>
      <w:r w:rsidR="001D37C5">
        <w:rPr>
          <w:rFonts w:ascii="Verdana" w:hAnsi="Verdana"/>
          <w:sz w:val="20"/>
          <w:szCs w:val="20"/>
        </w:rPr>
        <w:t>,</w:t>
      </w:r>
      <w:r w:rsidRPr="00B305F6">
        <w:rPr>
          <w:rFonts w:ascii="Verdana" w:hAnsi="Verdana"/>
          <w:sz w:val="20"/>
          <w:szCs w:val="20"/>
        </w:rPr>
        <w:t xml:space="preserve"> </w:t>
      </w:r>
      <w:r w:rsidR="001D37C5">
        <w:rPr>
          <w:rFonts w:ascii="Verdana" w:hAnsi="Verdana"/>
          <w:sz w:val="20"/>
          <w:szCs w:val="20"/>
        </w:rPr>
        <w:t>maşinile</w:t>
      </w:r>
      <w:r w:rsidRPr="00B305F6">
        <w:rPr>
          <w:rFonts w:ascii="Verdana" w:hAnsi="Verdana"/>
          <w:sz w:val="20"/>
          <w:szCs w:val="20"/>
        </w:rPr>
        <w:t xml:space="preserve"> continuă să fie păstrate în parcări aflate </w:t>
      </w:r>
      <w:r w:rsidRPr="00B305F6">
        <w:rPr>
          <w:rFonts w:ascii="Verdana" w:hAnsi="Verdana"/>
          <w:sz w:val="20"/>
          <w:szCs w:val="20"/>
        </w:rPr>
        <w:lastRenderedPageBreak/>
        <w:t>sub cerul liber unde se deteriorează, hotelurile se deg</w:t>
      </w:r>
      <w:r w:rsidR="001D37C5">
        <w:rPr>
          <w:rFonts w:ascii="Verdana" w:hAnsi="Verdana"/>
          <w:sz w:val="20"/>
          <w:szCs w:val="20"/>
        </w:rPr>
        <w:t>radează</w:t>
      </w:r>
      <w:r w:rsidRPr="00B305F6">
        <w:rPr>
          <w:rFonts w:ascii="Verdana" w:hAnsi="Verdana"/>
          <w:sz w:val="20"/>
          <w:szCs w:val="20"/>
        </w:rPr>
        <w:t xml:space="preserve"> iar afacerile rămân în administrarea infractorilor </w:t>
      </w:r>
      <w:r w:rsidR="001D37C5">
        <w:rPr>
          <w:rFonts w:ascii="Verdana" w:hAnsi="Verdana"/>
          <w:sz w:val="20"/>
          <w:szCs w:val="20"/>
        </w:rPr>
        <w:t>c</w:t>
      </w:r>
      <w:r w:rsidRPr="00B305F6">
        <w:rPr>
          <w:rFonts w:ascii="Verdana" w:hAnsi="Verdana"/>
          <w:sz w:val="20"/>
          <w:szCs w:val="20"/>
        </w:rPr>
        <w:t>e profită de durata mare a procedurilor pentru a le scădea valoarea de piață.</w:t>
      </w:r>
    </w:p>
    <w:p w14:paraId="6B23C0CD" w14:textId="1BAFB37A" w:rsidR="00B305F6" w:rsidRPr="00B305F6" w:rsidRDefault="00B305F6" w:rsidP="00B305F6">
      <w:pPr>
        <w:spacing w:after="120"/>
        <w:rPr>
          <w:rFonts w:ascii="Verdana" w:hAnsi="Verdana"/>
          <w:sz w:val="20"/>
          <w:szCs w:val="20"/>
        </w:rPr>
      </w:pPr>
      <w:r w:rsidRPr="00B305F6">
        <w:rPr>
          <w:rFonts w:ascii="Verdana" w:hAnsi="Verdana"/>
          <w:sz w:val="20"/>
          <w:szCs w:val="20"/>
        </w:rPr>
        <w:t>O altă cale de a preveni scăderea va</w:t>
      </w:r>
      <w:r w:rsidR="001D37C5">
        <w:rPr>
          <w:rFonts w:ascii="Verdana" w:hAnsi="Verdana"/>
          <w:sz w:val="20"/>
          <w:szCs w:val="20"/>
        </w:rPr>
        <w:t>lorii bunurilor sechestrate e</w:t>
      </w:r>
      <w:r w:rsidRPr="00B305F6">
        <w:rPr>
          <w:rFonts w:ascii="Verdana" w:hAnsi="Verdana"/>
          <w:sz w:val="20"/>
          <w:szCs w:val="20"/>
        </w:rPr>
        <w:t xml:space="preserve"> utilizarea în practică a posibilității valorificării timpurii fie în cursul urmăririi penale, fie în cursul judecății. </w:t>
      </w:r>
      <w:r w:rsidR="001D37C5">
        <w:rPr>
          <w:rFonts w:ascii="Verdana" w:hAnsi="Verdana"/>
          <w:sz w:val="20"/>
          <w:szCs w:val="20"/>
        </w:rPr>
        <w:t>Posibilitare e</w:t>
      </w:r>
      <w:r w:rsidRPr="00B305F6">
        <w:rPr>
          <w:rFonts w:ascii="Verdana" w:hAnsi="Verdana"/>
          <w:sz w:val="20"/>
          <w:szCs w:val="20"/>
        </w:rPr>
        <w:t xml:space="preserve"> reglementată expres de Codul de Procedură Penală in art 252</w:t>
      </w:r>
      <w:r w:rsidRPr="00B305F6">
        <w:rPr>
          <w:rFonts w:ascii="Verdana" w:hAnsi="Verdana"/>
          <w:sz w:val="20"/>
          <w:szCs w:val="20"/>
          <w:vertAlign w:val="superscript"/>
        </w:rPr>
        <w:t xml:space="preserve">2 </w:t>
      </w:r>
      <w:r w:rsidRPr="00B305F6">
        <w:rPr>
          <w:rFonts w:ascii="Verdana" w:hAnsi="Verdana"/>
          <w:sz w:val="20"/>
          <w:szCs w:val="20"/>
        </w:rPr>
        <w:t>și 252</w:t>
      </w:r>
      <w:r w:rsidRPr="00B305F6">
        <w:rPr>
          <w:rFonts w:ascii="Verdana" w:hAnsi="Verdana"/>
          <w:sz w:val="20"/>
          <w:szCs w:val="20"/>
          <w:vertAlign w:val="superscript"/>
        </w:rPr>
        <w:t xml:space="preserve">3 </w:t>
      </w:r>
      <w:r w:rsidRPr="00B305F6">
        <w:rPr>
          <w:rFonts w:ascii="Verdana" w:hAnsi="Verdana"/>
          <w:sz w:val="20"/>
          <w:szCs w:val="20"/>
        </w:rPr>
        <w:t xml:space="preserve">, dar până în prezent aplicarea acestor două articole a fost </w:t>
      </w:r>
      <w:r w:rsidR="001D37C5">
        <w:rPr>
          <w:rFonts w:ascii="Verdana" w:hAnsi="Verdana"/>
          <w:sz w:val="20"/>
          <w:szCs w:val="20"/>
        </w:rPr>
        <w:t>timidă</w:t>
      </w:r>
      <w:r w:rsidRPr="00B305F6">
        <w:rPr>
          <w:rFonts w:ascii="Verdana" w:hAnsi="Verdana"/>
          <w:sz w:val="20"/>
          <w:szCs w:val="20"/>
        </w:rPr>
        <w:t>. Probabil că înființarea unei entități care să gestioneze bunurile sechestrate ar impulsiona activitatea în această zonă</w:t>
      </w:r>
      <w:r w:rsidR="001D37C5">
        <w:rPr>
          <w:rFonts w:ascii="Verdana" w:hAnsi="Verdana"/>
          <w:sz w:val="20"/>
          <w:szCs w:val="20"/>
        </w:rPr>
        <w:t xml:space="preserve">. pentru că </w:t>
      </w:r>
      <w:r w:rsidRPr="00B305F6">
        <w:rPr>
          <w:rFonts w:ascii="Verdana" w:hAnsi="Verdana"/>
          <w:sz w:val="20"/>
          <w:szCs w:val="20"/>
        </w:rPr>
        <w:t xml:space="preserve">totdeauna stabilirea de responsabilități clare stimulează asumarea răspunderii. </w:t>
      </w:r>
      <w:r w:rsidR="001D37C5">
        <w:rPr>
          <w:rFonts w:ascii="Verdana" w:hAnsi="Verdana"/>
          <w:sz w:val="20"/>
          <w:szCs w:val="20"/>
        </w:rPr>
        <w:t>Oricum aceste activități exced</w:t>
      </w:r>
      <w:r w:rsidRPr="00B305F6">
        <w:rPr>
          <w:rFonts w:ascii="Verdana" w:hAnsi="Verdana"/>
          <w:sz w:val="20"/>
          <w:szCs w:val="20"/>
        </w:rPr>
        <w:t xml:space="preserve"> mandatului principal pe care îl au organele judiciare –</w:t>
      </w:r>
      <w:r w:rsidR="001D37C5">
        <w:rPr>
          <w:rFonts w:ascii="Verdana" w:hAnsi="Verdana"/>
          <w:sz w:val="20"/>
          <w:szCs w:val="20"/>
        </w:rPr>
        <w:t xml:space="preserve"> </w:t>
      </w:r>
      <w:r w:rsidRPr="00B305F6">
        <w:rPr>
          <w:rFonts w:ascii="Verdana" w:hAnsi="Verdana"/>
          <w:sz w:val="20"/>
          <w:szCs w:val="20"/>
        </w:rPr>
        <w:t xml:space="preserve">procurori </w:t>
      </w:r>
      <w:r w:rsidR="001D37C5">
        <w:rPr>
          <w:rFonts w:ascii="Verdana" w:hAnsi="Verdana"/>
          <w:sz w:val="20"/>
          <w:szCs w:val="20"/>
        </w:rPr>
        <w:t>sau</w:t>
      </w:r>
      <w:r w:rsidRPr="00B305F6">
        <w:rPr>
          <w:rFonts w:ascii="Verdana" w:hAnsi="Verdana"/>
          <w:sz w:val="20"/>
          <w:szCs w:val="20"/>
        </w:rPr>
        <w:t xml:space="preserve"> judecători </w:t>
      </w:r>
      <w:r w:rsidR="001D37C5">
        <w:rPr>
          <w:rFonts w:ascii="Verdana" w:hAnsi="Verdana"/>
          <w:sz w:val="20"/>
          <w:szCs w:val="20"/>
        </w:rPr>
        <w:t>–</w:t>
      </w:r>
      <w:r w:rsidRPr="00B305F6">
        <w:rPr>
          <w:rFonts w:ascii="Verdana" w:hAnsi="Verdana"/>
          <w:sz w:val="20"/>
          <w:szCs w:val="20"/>
        </w:rPr>
        <w:t xml:space="preserve"> fiind mai degrabă proprii unor structuri </w:t>
      </w:r>
      <w:r w:rsidR="001D37C5">
        <w:rPr>
          <w:rFonts w:ascii="Verdana" w:hAnsi="Verdana"/>
          <w:sz w:val="20"/>
          <w:szCs w:val="20"/>
        </w:rPr>
        <w:t>ale</w:t>
      </w:r>
      <w:r w:rsidRPr="00B305F6">
        <w:rPr>
          <w:rFonts w:ascii="Verdana" w:hAnsi="Verdana"/>
          <w:sz w:val="20"/>
          <w:szCs w:val="20"/>
        </w:rPr>
        <w:t xml:space="preserve"> puterii executive care să ajute la creșterea eficienței actului de justiție penală.</w:t>
      </w:r>
    </w:p>
    <w:p w14:paraId="55A867E4" w14:textId="27BBF337" w:rsidR="00B305F6" w:rsidRPr="00B305F6" w:rsidRDefault="00B305F6" w:rsidP="00B305F6">
      <w:pPr>
        <w:spacing w:after="120"/>
        <w:rPr>
          <w:rFonts w:ascii="Verdana" w:hAnsi="Verdana"/>
          <w:sz w:val="20"/>
          <w:szCs w:val="20"/>
        </w:rPr>
      </w:pPr>
      <w:r w:rsidRPr="00B305F6">
        <w:rPr>
          <w:rFonts w:ascii="Verdana" w:hAnsi="Verdana"/>
          <w:sz w:val="20"/>
          <w:szCs w:val="20"/>
        </w:rPr>
        <w:t xml:space="preserve">În fine, în dosarele complexe în care se pune problema unor operațiuni de spălare de bani sau a unei conduite infracționale în materie economică ce implică o multitudine de actori economici se simte acut nevoia unei abordări </w:t>
      </w:r>
      <w:r w:rsidRPr="00B305F6">
        <w:rPr>
          <w:rFonts w:ascii="Verdana" w:hAnsi="Verdana"/>
          <w:b/>
          <w:sz w:val="20"/>
          <w:szCs w:val="20"/>
        </w:rPr>
        <w:t>inter-disciplinare a chestiunilor legate de confiscare – specială sau extinsă – atât din perspectiva legislației penale, cât și din perspectiva legislatiei civile aplicabile</w:t>
      </w:r>
      <w:r w:rsidRPr="00B305F6">
        <w:rPr>
          <w:rFonts w:ascii="Verdana" w:hAnsi="Verdana"/>
          <w:sz w:val="20"/>
          <w:szCs w:val="20"/>
        </w:rPr>
        <w:t>. Cu cât conduita infracțională se rafinează</w:t>
      </w:r>
      <w:r w:rsidR="001D37C5">
        <w:rPr>
          <w:rFonts w:ascii="Verdana" w:hAnsi="Verdana"/>
          <w:sz w:val="20"/>
          <w:szCs w:val="20"/>
        </w:rPr>
        <w:t>,</w:t>
      </w:r>
      <w:r w:rsidRPr="00B305F6">
        <w:rPr>
          <w:rFonts w:ascii="Verdana" w:hAnsi="Verdana"/>
          <w:sz w:val="20"/>
          <w:szCs w:val="20"/>
        </w:rPr>
        <w:t xml:space="preserve"> cu atât provocările </w:t>
      </w:r>
      <w:r w:rsidR="001D37C5">
        <w:rPr>
          <w:rFonts w:ascii="Verdana" w:hAnsi="Verdana"/>
          <w:sz w:val="20"/>
          <w:szCs w:val="20"/>
        </w:rPr>
        <w:t>pentru</w:t>
      </w:r>
      <w:r w:rsidRPr="00B305F6">
        <w:rPr>
          <w:rFonts w:ascii="Verdana" w:hAnsi="Verdana"/>
          <w:sz w:val="20"/>
          <w:szCs w:val="20"/>
        </w:rPr>
        <w:t xml:space="preserve"> judecătorul în materie penală vor fi mai </w:t>
      </w:r>
      <w:r w:rsidR="001D37C5">
        <w:rPr>
          <w:rFonts w:ascii="Verdana" w:hAnsi="Verdana"/>
          <w:sz w:val="20"/>
          <w:szCs w:val="20"/>
        </w:rPr>
        <w:t>mari</w:t>
      </w:r>
      <w:r w:rsidRPr="00B305F6">
        <w:rPr>
          <w:rFonts w:ascii="Verdana" w:hAnsi="Verdana"/>
          <w:sz w:val="20"/>
          <w:szCs w:val="20"/>
        </w:rPr>
        <w:t>. Acesta va trebui să armonizeze atât nevoia statului de a deposeda infractorul de beneficiile obținute din infracțiuni, cât și nevoia sistem</w:t>
      </w:r>
      <w:r w:rsidR="001D37C5">
        <w:rPr>
          <w:rFonts w:ascii="Verdana" w:hAnsi="Verdana"/>
          <w:sz w:val="20"/>
          <w:szCs w:val="20"/>
        </w:rPr>
        <w:t>ului</w:t>
      </w:r>
      <w:r w:rsidRPr="00B305F6">
        <w:rPr>
          <w:rFonts w:ascii="Verdana" w:hAnsi="Verdana"/>
          <w:sz w:val="20"/>
          <w:szCs w:val="20"/>
        </w:rPr>
        <w:t xml:space="preserve"> juridic al stat</w:t>
      </w:r>
      <w:r w:rsidR="001D37C5">
        <w:rPr>
          <w:rFonts w:ascii="Verdana" w:hAnsi="Verdana"/>
          <w:sz w:val="20"/>
          <w:szCs w:val="20"/>
        </w:rPr>
        <w:t>ului</w:t>
      </w:r>
      <w:r w:rsidRPr="00B305F6">
        <w:rPr>
          <w:rFonts w:ascii="Verdana" w:hAnsi="Verdana"/>
          <w:sz w:val="20"/>
          <w:szCs w:val="20"/>
        </w:rPr>
        <w:t xml:space="preserve"> de drept de a asigura certitudinea și predictibilitatea raporturilor juridice și protejarea drepturilor terților de bună-credință. </w:t>
      </w:r>
    </w:p>
    <w:p w14:paraId="5E8CA17B" w14:textId="77777777" w:rsidR="00B305F6" w:rsidRPr="00AA1075" w:rsidRDefault="00B305F6" w:rsidP="00E2421E">
      <w:pPr>
        <w:spacing w:after="120"/>
        <w:rPr>
          <w:rFonts w:ascii="Verdana" w:hAnsi="Verdana"/>
          <w:sz w:val="20"/>
          <w:szCs w:val="20"/>
        </w:rPr>
      </w:pPr>
    </w:p>
    <w:p w14:paraId="0D839D8C" w14:textId="3584C905" w:rsidR="00391978" w:rsidRPr="00AA1075" w:rsidRDefault="0060151F" w:rsidP="00207859">
      <w:pPr>
        <w:spacing w:after="120"/>
        <w:jc w:val="center"/>
        <w:rPr>
          <w:rStyle w:val="hps"/>
          <w:rFonts w:ascii="Verdana" w:hAnsi="Verdana"/>
          <w:sz w:val="18"/>
          <w:szCs w:val="18"/>
        </w:rPr>
      </w:pPr>
      <w:r w:rsidRPr="00AA1075">
        <w:rPr>
          <w:rFonts w:ascii="Verdana" w:hAnsi="Verdana"/>
          <w:b/>
          <w:color w:val="002060"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0BB3099D" wp14:editId="166439D6">
            <wp:simplePos x="0" y="0"/>
            <wp:positionH relativeFrom="column">
              <wp:posOffset>820965</wp:posOffset>
            </wp:positionH>
            <wp:positionV relativeFrom="paragraph">
              <wp:posOffset>208915</wp:posOffset>
            </wp:positionV>
            <wp:extent cx="1066165" cy="628650"/>
            <wp:effectExtent l="0" t="0" r="635" b="0"/>
            <wp:wrapNone/>
            <wp:docPr id="247" name="Picture 247" descr="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ex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C24" w:rsidRPr="00AA1075">
        <w:rPr>
          <w:rStyle w:val="hps"/>
          <w:rFonts w:ascii="Verdana" w:hAnsi="Verdana"/>
          <w:b/>
          <w:color w:val="C00000"/>
          <w:sz w:val="18"/>
          <w:szCs w:val="18"/>
        </w:rPr>
        <w:t>Laura Ştefan</w:t>
      </w:r>
      <w:r w:rsidR="00391978" w:rsidRPr="00AA1075">
        <w:rPr>
          <w:rStyle w:val="hps"/>
          <w:rFonts w:ascii="Verdana" w:hAnsi="Verdana"/>
          <w:color w:val="C00000"/>
          <w:sz w:val="18"/>
          <w:szCs w:val="18"/>
        </w:rPr>
        <w:t xml:space="preserve"> </w:t>
      </w:r>
      <w:r w:rsidR="0069169D" w:rsidRPr="00AA1075">
        <w:rPr>
          <w:rStyle w:val="hps"/>
          <w:rFonts w:ascii="Verdana" w:hAnsi="Verdana"/>
          <w:sz w:val="18"/>
          <w:szCs w:val="18"/>
        </w:rPr>
        <w:t xml:space="preserve">este </w:t>
      </w:r>
      <w:r w:rsidR="00F06C24" w:rsidRPr="00AA1075">
        <w:rPr>
          <w:rStyle w:val="hps"/>
          <w:rFonts w:ascii="Verdana" w:hAnsi="Verdana"/>
          <w:sz w:val="18"/>
          <w:szCs w:val="18"/>
        </w:rPr>
        <w:t>expert anticorupţie</w:t>
      </w:r>
      <w:r w:rsidR="000979B8" w:rsidRPr="00AA1075">
        <w:rPr>
          <w:rStyle w:val="hps"/>
          <w:rFonts w:ascii="Verdana" w:hAnsi="Verdana"/>
          <w:sz w:val="18"/>
          <w:szCs w:val="18"/>
        </w:rPr>
        <w:t xml:space="preserve"> al</w:t>
      </w:r>
    </w:p>
    <w:p w14:paraId="0D3FC3C7" w14:textId="77777777" w:rsidR="00391978" w:rsidRPr="00AA1075" w:rsidRDefault="00391978" w:rsidP="0060151F">
      <w:pPr>
        <w:spacing w:after="120"/>
        <w:jc w:val="center"/>
        <w:rPr>
          <w:rStyle w:val="hps"/>
          <w:rFonts w:ascii="Verdana" w:hAnsi="Verdana"/>
          <w:sz w:val="18"/>
          <w:szCs w:val="18"/>
        </w:rPr>
      </w:pPr>
    </w:p>
    <w:p w14:paraId="62465A72" w14:textId="77777777" w:rsidR="00391978" w:rsidRPr="00AA1075" w:rsidRDefault="00391978" w:rsidP="0060151F">
      <w:pPr>
        <w:spacing w:after="120"/>
        <w:jc w:val="center"/>
        <w:rPr>
          <w:rStyle w:val="hps"/>
          <w:rFonts w:ascii="Verdana" w:hAnsi="Verdana"/>
          <w:sz w:val="18"/>
          <w:szCs w:val="18"/>
        </w:rPr>
      </w:pPr>
    </w:p>
    <w:p w14:paraId="4008A73F" w14:textId="77777777" w:rsidR="00391978" w:rsidRPr="00AA1075" w:rsidRDefault="00391978" w:rsidP="0060151F">
      <w:pPr>
        <w:spacing w:after="120"/>
        <w:jc w:val="center"/>
        <w:rPr>
          <w:rStyle w:val="hps"/>
          <w:rFonts w:ascii="Verdana" w:hAnsi="Verdana"/>
          <w:sz w:val="18"/>
          <w:szCs w:val="18"/>
        </w:rPr>
      </w:pPr>
    </w:p>
    <w:p w14:paraId="270501F1" w14:textId="77777777" w:rsidR="00391978" w:rsidRPr="00AA1075" w:rsidRDefault="00391978" w:rsidP="0060151F">
      <w:pPr>
        <w:jc w:val="center"/>
        <w:rPr>
          <w:rFonts w:ascii="Verdana" w:hAnsi="Verdana"/>
          <w:b/>
          <w:color w:val="002060"/>
          <w:sz w:val="16"/>
          <w:szCs w:val="16"/>
        </w:rPr>
      </w:pPr>
      <w:r w:rsidRPr="00AA1075">
        <w:rPr>
          <w:rFonts w:ascii="Verdana" w:hAnsi="Verdana"/>
          <w:b/>
          <w:color w:val="002060"/>
          <w:sz w:val="16"/>
          <w:szCs w:val="16"/>
        </w:rPr>
        <w:t>Aurel Vlaicu 87, ap. 3</w:t>
      </w:r>
    </w:p>
    <w:p w14:paraId="06283D2A" w14:textId="77777777" w:rsidR="00391978" w:rsidRPr="00AA1075" w:rsidRDefault="00391978" w:rsidP="0060151F">
      <w:pPr>
        <w:jc w:val="center"/>
        <w:rPr>
          <w:rFonts w:ascii="Verdana" w:hAnsi="Verdana"/>
          <w:b/>
          <w:color w:val="002060"/>
          <w:sz w:val="16"/>
          <w:szCs w:val="16"/>
        </w:rPr>
      </w:pPr>
      <w:r w:rsidRPr="00AA1075">
        <w:rPr>
          <w:rFonts w:ascii="Verdana" w:hAnsi="Verdana"/>
          <w:b/>
          <w:color w:val="002060"/>
          <w:sz w:val="16"/>
          <w:szCs w:val="16"/>
        </w:rPr>
        <w:t>Sector 2, Bucureşti</w:t>
      </w:r>
    </w:p>
    <w:p w14:paraId="78F0A3F2" w14:textId="47766842" w:rsidR="00AC0194" w:rsidRPr="00AA1075" w:rsidRDefault="00752C72" w:rsidP="008E42B4">
      <w:pPr>
        <w:jc w:val="center"/>
        <w:rPr>
          <w:rFonts w:ascii="Verdana" w:hAnsi="Verdana"/>
          <w:sz w:val="16"/>
          <w:szCs w:val="16"/>
        </w:rPr>
      </w:pPr>
      <w:hyperlink r:id="rId11" w:history="1">
        <w:r w:rsidR="00391978" w:rsidRPr="00AA1075">
          <w:rPr>
            <w:rStyle w:val="Hyperlink"/>
            <w:rFonts w:ascii="Verdana" w:hAnsi="Verdana"/>
            <w:b/>
            <w:sz w:val="16"/>
            <w:szCs w:val="16"/>
          </w:rPr>
          <w:t>www.expertforum.ro</w:t>
        </w:r>
      </w:hyperlink>
    </w:p>
    <w:sectPr w:rsidR="00AC0194" w:rsidRPr="00AA1075" w:rsidSect="00A9148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0" w:h="16840" w:code="9"/>
      <w:pgMar w:top="1440" w:right="1224" w:bottom="1267" w:left="1560" w:header="720" w:footer="547" w:gutter="0"/>
      <w:cols w:num="2" w:space="720" w:equalWidth="0">
        <w:col w:w="4291" w:space="499"/>
        <w:col w:w="433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CC28E" w14:textId="77777777" w:rsidR="00752C72" w:rsidRDefault="00752C72">
      <w:r>
        <w:separator/>
      </w:r>
    </w:p>
  </w:endnote>
  <w:endnote w:type="continuationSeparator" w:id="0">
    <w:p w14:paraId="1060A2D1" w14:textId="77777777" w:rsidR="00752C72" w:rsidRDefault="0075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6A6E" w14:textId="77777777" w:rsidR="009C5E71" w:rsidRPr="00B612BE" w:rsidRDefault="009C5E71" w:rsidP="0038686C">
    <w:pPr>
      <w:pStyle w:val="Footer"/>
      <w:framePr w:wrap="around" w:vAnchor="text" w:hAnchor="page" w:x="985" w:y="-881"/>
      <w:jc w:val="center"/>
      <w:rPr>
        <w:rStyle w:val="PageNumber"/>
        <w:rFonts w:ascii="Tahoma" w:hAnsi="Tahoma" w:cs="Tahoma"/>
        <w:color w:val="002060"/>
        <w:szCs w:val="24"/>
      </w:rPr>
    </w:pPr>
    <w:r w:rsidRPr="00B612BE">
      <w:rPr>
        <w:rStyle w:val="PageNumber"/>
        <w:rFonts w:ascii="Tahoma" w:hAnsi="Tahoma" w:cs="Tahoma"/>
        <w:color w:val="002060"/>
        <w:szCs w:val="24"/>
      </w:rPr>
      <w:fldChar w:fldCharType="begin"/>
    </w:r>
    <w:r w:rsidRPr="00B612BE">
      <w:rPr>
        <w:rStyle w:val="PageNumber"/>
        <w:rFonts w:ascii="Tahoma" w:hAnsi="Tahoma" w:cs="Tahoma"/>
        <w:color w:val="002060"/>
        <w:szCs w:val="24"/>
      </w:rPr>
      <w:instrText xml:space="preserve">PAGE  </w:instrText>
    </w:r>
    <w:r w:rsidRPr="00B612BE">
      <w:rPr>
        <w:rStyle w:val="PageNumber"/>
        <w:rFonts w:ascii="Tahoma" w:hAnsi="Tahoma" w:cs="Tahoma"/>
        <w:color w:val="002060"/>
        <w:szCs w:val="24"/>
      </w:rPr>
      <w:fldChar w:fldCharType="separate"/>
    </w:r>
    <w:r w:rsidR="00262FAB">
      <w:rPr>
        <w:rStyle w:val="PageNumber"/>
        <w:rFonts w:ascii="Tahoma" w:hAnsi="Tahoma" w:cs="Tahoma"/>
        <w:noProof/>
        <w:color w:val="002060"/>
        <w:szCs w:val="24"/>
      </w:rPr>
      <w:t>2</w:t>
    </w:r>
    <w:r w:rsidRPr="00B612BE">
      <w:rPr>
        <w:rStyle w:val="PageNumber"/>
        <w:rFonts w:ascii="Tahoma" w:hAnsi="Tahoma" w:cs="Tahoma"/>
        <w:color w:val="002060"/>
        <w:szCs w:val="24"/>
      </w:rPr>
      <w:fldChar w:fldCharType="end"/>
    </w:r>
  </w:p>
  <w:p w14:paraId="0F26ADC5" w14:textId="77777777" w:rsidR="009C5E71" w:rsidRDefault="009C5E71">
    <w:pPr>
      <w:pStyle w:val="Footer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3EDFD8" wp14:editId="541E34F0">
              <wp:simplePos x="0" y="0"/>
              <wp:positionH relativeFrom="column">
                <wp:posOffset>-226060</wp:posOffset>
              </wp:positionH>
              <wp:positionV relativeFrom="paragraph">
                <wp:posOffset>-1935480</wp:posOffset>
              </wp:positionV>
              <wp:extent cx="228600" cy="12573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9822C" w14:textId="77777777" w:rsidR="009C5E71" w:rsidRPr="00B612BE" w:rsidRDefault="009C5E71" w:rsidP="00B612BE">
                          <w:pPr>
                            <w:pBdr>
                              <w:right w:val="single" w:sz="4" w:space="4" w:color="auto"/>
                            </w:pBdr>
                            <w:spacing w:before="40"/>
                            <w:jc w:val="right"/>
                            <w:rPr>
                              <w:color w:val="002060"/>
                            </w:rPr>
                          </w:pPr>
                          <w:r w:rsidRPr="00B612BE">
                            <w:rPr>
                              <w:rStyle w:val="PageNumber"/>
                              <w:rFonts w:ascii="Tahoma" w:hAnsi="Tahoma" w:cs="Tahoma"/>
                              <w:color w:val="002060"/>
                              <w:sz w:val="16"/>
                              <w:szCs w:val="16"/>
                            </w:rPr>
                            <w:t xml:space="preserve">www.expertforum.ro  </w:t>
                          </w:r>
                        </w:p>
                      </w:txbxContent>
                    </wps:txbx>
                    <wps:bodyPr rot="0" vert="vert" wrap="square" lIns="9144" tIns="0" rIns="9144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17.8pt;margin-top:-152.4pt;width:18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" stroked="f">
              <v:textbox style="layout-flow:vertical" inset=".72pt,0,.72pt,0">
                <w:txbxContent>
                  <w:p w14:paraId="31F9822C" w14:textId="77777777" w:rsidR="009C5E71" w:rsidRPr="00B612BE" w:rsidRDefault="009C5E71" w:rsidP="00B612BE">
                    <w:pPr>
                      <w:pBdr>
                        <w:right w:val="single" w:sz="4" w:space="4" w:color="auto"/>
                      </w:pBdr>
                      <w:spacing w:before="40"/>
                      <w:jc w:val="right"/>
                      <w:rPr>
                        <w:color w:val="002060"/>
                      </w:rPr>
                    </w:pPr>
                    <w:r w:rsidRPr="00B612BE">
                      <w:rPr>
                        <w:rStyle w:val="PageNumber"/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 xml:space="preserve">www.expertforum.ro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B492B" w14:textId="77777777" w:rsidR="009C5E71" w:rsidRPr="00B612BE" w:rsidRDefault="009C5E71" w:rsidP="0038686C">
    <w:pPr>
      <w:pStyle w:val="Footer"/>
      <w:framePr w:wrap="around" w:vAnchor="text" w:hAnchor="page" w:x="10825" w:y="-717"/>
      <w:rPr>
        <w:rStyle w:val="PageNumber"/>
        <w:rFonts w:ascii="Tahoma" w:hAnsi="Tahoma" w:cs="Tahoma"/>
        <w:color w:val="002060"/>
      </w:rPr>
    </w:pPr>
    <w:r w:rsidRPr="00B612BE">
      <w:rPr>
        <w:rStyle w:val="PageNumber"/>
        <w:rFonts w:ascii="Tahoma" w:hAnsi="Tahoma" w:cs="Tahoma"/>
        <w:color w:val="002060"/>
      </w:rPr>
      <w:fldChar w:fldCharType="begin"/>
    </w:r>
    <w:r w:rsidRPr="00B612BE">
      <w:rPr>
        <w:rStyle w:val="PageNumber"/>
        <w:rFonts w:ascii="Tahoma" w:hAnsi="Tahoma" w:cs="Tahoma"/>
        <w:color w:val="002060"/>
      </w:rPr>
      <w:instrText xml:space="preserve">PAGE  </w:instrText>
    </w:r>
    <w:r w:rsidRPr="00B612BE">
      <w:rPr>
        <w:rStyle w:val="PageNumber"/>
        <w:rFonts w:ascii="Tahoma" w:hAnsi="Tahoma" w:cs="Tahoma"/>
        <w:color w:val="002060"/>
      </w:rPr>
      <w:fldChar w:fldCharType="separate"/>
    </w:r>
    <w:r w:rsidR="00262FAB">
      <w:rPr>
        <w:rStyle w:val="PageNumber"/>
        <w:rFonts w:ascii="Tahoma" w:hAnsi="Tahoma" w:cs="Tahoma"/>
        <w:noProof/>
        <w:color w:val="002060"/>
      </w:rPr>
      <w:t>3</w:t>
    </w:r>
    <w:r w:rsidRPr="00B612BE">
      <w:rPr>
        <w:rStyle w:val="PageNumber"/>
        <w:rFonts w:ascii="Tahoma" w:hAnsi="Tahoma" w:cs="Tahoma"/>
        <w:color w:val="002060"/>
      </w:rPr>
      <w:fldChar w:fldCharType="end"/>
    </w:r>
  </w:p>
  <w:p w14:paraId="3A42D8DA" w14:textId="77777777" w:rsidR="009C5E71" w:rsidRDefault="009C5E71">
    <w:pPr>
      <w:pStyle w:val="Footer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E1C25E" wp14:editId="60EA4831">
              <wp:simplePos x="0" y="0"/>
              <wp:positionH relativeFrom="column">
                <wp:posOffset>5806440</wp:posOffset>
              </wp:positionH>
              <wp:positionV relativeFrom="paragraph">
                <wp:posOffset>-1821180</wp:posOffset>
              </wp:positionV>
              <wp:extent cx="257175" cy="1257300"/>
              <wp:effectExtent l="0" t="0" r="952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A4392" w14:textId="77777777" w:rsidR="009C5E71" w:rsidRPr="00B612BE" w:rsidRDefault="00752C72" w:rsidP="00B612BE">
                          <w:pPr>
                            <w:pBdr>
                              <w:right w:val="single" w:sz="4" w:space="4" w:color="auto"/>
                            </w:pBdr>
                            <w:spacing w:before="40"/>
                            <w:jc w:val="right"/>
                            <w:rPr>
                              <w:color w:val="002060"/>
                            </w:rPr>
                          </w:pPr>
                          <w:hyperlink r:id="rId1" w:history="1">
                            <w:r w:rsidR="009C5E71" w:rsidRPr="00B612BE">
                              <w:rPr>
                                <w:rStyle w:val="Hyperlink"/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  <w:u w:val="none"/>
                              </w:rPr>
                              <w:t>www.expertforum.r</w:t>
                            </w:r>
                          </w:hyperlink>
                          <w:r w:rsidR="009C5E71" w:rsidRPr="00B612BE">
                            <w:rPr>
                              <w:rStyle w:val="PageNumber"/>
                              <w:rFonts w:ascii="Tahoma" w:hAnsi="Tahoma" w:cs="Tahoma"/>
                              <w:color w:val="002060"/>
                              <w:sz w:val="16"/>
                              <w:szCs w:val="16"/>
                            </w:rPr>
                            <w:t xml:space="preserve">o  </w:t>
                          </w:r>
                        </w:p>
                      </w:txbxContent>
                    </wps:txbx>
                    <wps:bodyPr rot="0" vert="vert" wrap="square" lIns="9144" tIns="0" rIns="9144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57.2pt;margin-top:-143.4pt;width:20.2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" stroked="f">
              <v:textbox style="layout-flow:vertical" inset=".72pt,0,.72pt,0">
                <w:txbxContent>
                  <w:p w14:paraId="3F5A4392" w14:textId="77777777" w:rsidR="009C5E71" w:rsidRPr="00B612BE" w:rsidRDefault="00752C72" w:rsidP="00B612BE">
                    <w:pPr>
                      <w:pBdr>
                        <w:right w:val="single" w:sz="4" w:space="4" w:color="auto"/>
                      </w:pBdr>
                      <w:spacing w:before="40"/>
                      <w:jc w:val="right"/>
                      <w:rPr>
                        <w:color w:val="002060"/>
                      </w:rPr>
                    </w:pPr>
                    <w:hyperlink r:id="rId2" w:history="1">
                      <w:r w:rsidR="009C5E71" w:rsidRPr="00B612BE">
                        <w:rPr>
                          <w:rStyle w:val="Hyperlink"/>
                          <w:rFonts w:ascii="Tahoma" w:hAnsi="Tahoma" w:cs="Tahoma"/>
                          <w:color w:val="002060"/>
                          <w:sz w:val="16"/>
                          <w:szCs w:val="16"/>
                          <w:u w:val="none"/>
                        </w:rPr>
                        <w:t>www.expertforum.r</w:t>
                      </w:r>
                    </w:hyperlink>
                    <w:r w:rsidR="009C5E71" w:rsidRPr="00B612BE">
                      <w:rPr>
                        <w:rStyle w:val="PageNumber"/>
                        <w:rFonts w:ascii="Tahoma" w:hAnsi="Tahoma" w:cs="Tahoma"/>
                        <w:color w:val="002060"/>
                        <w:sz w:val="16"/>
                        <w:szCs w:val="16"/>
                      </w:rPr>
                      <w:t xml:space="preserve">o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AB46" w14:textId="77777777" w:rsidR="009C5E71" w:rsidRDefault="009C5E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E07AE9" wp14:editId="3A8544B8">
              <wp:simplePos x="0" y="0"/>
              <wp:positionH relativeFrom="column">
                <wp:posOffset>-213149</wp:posOffset>
              </wp:positionH>
              <wp:positionV relativeFrom="paragraph">
                <wp:posOffset>-290195</wp:posOffset>
              </wp:positionV>
              <wp:extent cx="1219200" cy="2286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6DCCD" w14:textId="5AE31980" w:rsidR="009C5E71" w:rsidRPr="00B06575" w:rsidRDefault="00E15F33" w:rsidP="009D6666">
                          <w:pPr>
                            <w:spacing w:before="80"/>
                            <w:rPr>
                              <w:b/>
                              <w:i/>
                              <w:color w:val="CC381B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rFonts w:ascii="Tahoma" w:hAnsi="Tahoma" w:cs="Tahoma"/>
                              <w:b/>
                              <w:i/>
                              <w:color w:val="CC381B"/>
                              <w:sz w:val="20"/>
                              <w:szCs w:val="20"/>
                            </w:rPr>
                            <w:t>Decemb</w:t>
                          </w:r>
                          <w:r w:rsidR="009C5E71">
                            <w:rPr>
                              <w:rStyle w:val="PageNumber"/>
                              <w:rFonts w:ascii="Tahoma" w:hAnsi="Tahoma" w:cs="Tahoma"/>
                              <w:b/>
                              <w:i/>
                              <w:color w:val="CC381B"/>
                              <w:sz w:val="20"/>
                              <w:szCs w:val="20"/>
                            </w:rPr>
                            <w:t xml:space="preserve">rie </w:t>
                          </w:r>
                          <w:r w:rsidR="009C5E71" w:rsidRPr="00B06575">
                            <w:rPr>
                              <w:rStyle w:val="PageNumber"/>
                              <w:rFonts w:ascii="Tahoma" w:hAnsi="Tahoma" w:cs="Tahoma"/>
                              <w:b/>
                              <w:i/>
                              <w:color w:val="CC381B"/>
                              <w:sz w:val="20"/>
                              <w:szCs w:val="20"/>
                            </w:rPr>
                            <w:t>201</w:t>
                          </w:r>
                          <w:r w:rsidR="00EC6758">
                            <w:rPr>
                              <w:rStyle w:val="PageNumber"/>
                              <w:rFonts w:ascii="Tahoma" w:hAnsi="Tahoma" w:cs="Tahoma"/>
                              <w:b/>
                              <w:i/>
                              <w:color w:val="CC381B"/>
                              <w:sz w:val="20"/>
                              <w:szCs w:val="20"/>
                            </w:rPr>
                            <w:t>4</w:t>
                          </w:r>
                          <w:r w:rsidR="009C5E71" w:rsidRPr="00B06575">
                            <w:rPr>
                              <w:rStyle w:val="PageNumber"/>
                              <w:rFonts w:ascii="Tahoma" w:hAnsi="Tahoma" w:cs="Tahoma"/>
                              <w:b/>
                              <w:i/>
                              <w:color w:val="CC381B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F8199E2" w14:textId="77777777" w:rsidR="009C5E71" w:rsidRDefault="009C5E71"/>
                      </w:txbxContent>
                    </wps:txbx>
                    <wps:bodyPr rot="0" vert="horz" wrap="square" lIns="9144" tIns="0" rIns="4572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6.8pt;margin-top:-22.85pt;width:9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" stroked="f">
              <v:textbox inset=".72pt,0,3.6pt,0">
                <w:txbxContent>
                  <w:p w14:paraId="7EF6DCCD" w14:textId="5AE31980" w:rsidR="009C5E71" w:rsidRPr="00B06575" w:rsidRDefault="00E15F33" w:rsidP="009D6666">
                    <w:pPr>
                      <w:spacing w:before="80"/>
                      <w:rPr>
                        <w:b/>
                        <w:i/>
                        <w:color w:val="CC381B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rFonts w:ascii="Tahoma" w:hAnsi="Tahoma" w:cs="Tahoma"/>
                        <w:b/>
                        <w:i/>
                        <w:color w:val="CC381B"/>
                        <w:sz w:val="20"/>
                        <w:szCs w:val="20"/>
                      </w:rPr>
                      <w:t>Decemb</w:t>
                    </w:r>
                    <w:r w:rsidR="009C5E71">
                      <w:rPr>
                        <w:rStyle w:val="PageNumber"/>
                        <w:rFonts w:ascii="Tahoma" w:hAnsi="Tahoma" w:cs="Tahoma"/>
                        <w:b/>
                        <w:i/>
                        <w:color w:val="CC381B"/>
                        <w:sz w:val="20"/>
                        <w:szCs w:val="20"/>
                      </w:rPr>
                      <w:t xml:space="preserve">rie </w:t>
                    </w:r>
                    <w:r w:rsidR="009C5E71" w:rsidRPr="00B06575">
                      <w:rPr>
                        <w:rStyle w:val="PageNumber"/>
                        <w:rFonts w:ascii="Tahoma" w:hAnsi="Tahoma" w:cs="Tahoma"/>
                        <w:b/>
                        <w:i/>
                        <w:color w:val="CC381B"/>
                        <w:sz w:val="20"/>
                        <w:szCs w:val="20"/>
                      </w:rPr>
                      <w:t>201</w:t>
                    </w:r>
                    <w:r w:rsidR="00EC6758">
                      <w:rPr>
                        <w:rStyle w:val="PageNumber"/>
                        <w:rFonts w:ascii="Tahoma" w:hAnsi="Tahoma" w:cs="Tahoma"/>
                        <w:b/>
                        <w:i/>
                        <w:color w:val="CC381B"/>
                        <w:sz w:val="20"/>
                        <w:szCs w:val="20"/>
                      </w:rPr>
                      <w:t>4</w:t>
                    </w:r>
                    <w:r w:rsidR="009C5E71" w:rsidRPr="00B06575">
                      <w:rPr>
                        <w:rStyle w:val="PageNumber"/>
                        <w:rFonts w:ascii="Tahoma" w:hAnsi="Tahoma" w:cs="Tahoma"/>
                        <w:b/>
                        <w:i/>
                        <w:color w:val="CC381B"/>
                        <w:sz w:val="20"/>
                        <w:szCs w:val="20"/>
                      </w:rPr>
                      <w:t xml:space="preserve"> </w:t>
                    </w:r>
                  </w:p>
                  <w:p w14:paraId="5F8199E2" w14:textId="77777777" w:rsidR="009C5E71" w:rsidRDefault="009C5E7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409DF" w14:textId="77777777" w:rsidR="00752C72" w:rsidRDefault="00752C72">
      <w:r>
        <w:separator/>
      </w:r>
    </w:p>
  </w:footnote>
  <w:footnote w:type="continuationSeparator" w:id="0">
    <w:p w14:paraId="7017D407" w14:textId="77777777" w:rsidR="00752C72" w:rsidRDefault="0075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4BDD" w14:textId="77777777" w:rsidR="009C5E71" w:rsidRPr="005346A1" w:rsidRDefault="009C5E71" w:rsidP="00812013">
    <w:pPr>
      <w:pStyle w:val="Header"/>
      <w:jc w:val="center"/>
      <w:rPr>
        <w:b/>
        <w:color w:val="002060"/>
      </w:rPr>
    </w:pPr>
    <w:r w:rsidRPr="005346A1">
      <w:rPr>
        <w:rFonts w:ascii="Tahoma" w:hAnsi="Tahoma" w:cs="Tahoma"/>
        <w:b/>
        <w:color w:val="002060"/>
        <w:sz w:val="16"/>
        <w:szCs w:val="16"/>
      </w:rPr>
      <w:t>Expert Forum (EFOR)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E5E4" w14:textId="3BAF9973" w:rsidR="009C5E71" w:rsidRPr="00B612BE" w:rsidRDefault="009C5E71" w:rsidP="005226C9">
    <w:pPr>
      <w:tabs>
        <w:tab w:val="center" w:pos="4562"/>
        <w:tab w:val="left" w:pos="7770"/>
      </w:tabs>
      <w:rPr>
        <w:rFonts w:ascii="Tahoma" w:hAnsi="Tahoma" w:cs="Tahoma"/>
        <w:b/>
        <w:color w:val="002060"/>
        <w:sz w:val="16"/>
        <w:szCs w:val="16"/>
      </w:rPr>
    </w:pPr>
    <w:r>
      <w:rPr>
        <w:rFonts w:ascii="Tahoma" w:hAnsi="Tahoma" w:cs="Tahoma"/>
        <w:b/>
        <w:color w:val="0070C0"/>
        <w:sz w:val="16"/>
        <w:szCs w:val="16"/>
      </w:rPr>
      <w:tab/>
    </w:r>
    <w:r>
      <w:rPr>
        <w:rFonts w:ascii="Tahoma" w:hAnsi="Tahoma" w:cs="Tahoma"/>
        <w:b/>
        <w:color w:val="002060"/>
        <w:sz w:val="16"/>
        <w:szCs w:val="16"/>
      </w:rPr>
      <w:t xml:space="preserve">Policy </w:t>
    </w:r>
    <w:r w:rsidR="00E15F33">
      <w:rPr>
        <w:rFonts w:ascii="Tahoma" w:hAnsi="Tahoma" w:cs="Tahoma"/>
        <w:b/>
        <w:color w:val="002060"/>
        <w:sz w:val="16"/>
        <w:szCs w:val="16"/>
      </w:rPr>
      <w:t>Brief No. 30</w:t>
    </w:r>
    <w:r w:rsidRPr="00B612BE">
      <w:rPr>
        <w:rFonts w:ascii="Tahoma" w:hAnsi="Tahoma" w:cs="Tahoma"/>
        <w:b/>
        <w:color w:val="002060"/>
        <w:sz w:val="16"/>
        <w:szCs w:val="16"/>
      </w:rPr>
      <w:tab/>
    </w:r>
  </w:p>
  <w:p w14:paraId="22BF469A" w14:textId="77777777" w:rsidR="009C5E71" w:rsidRDefault="009C5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FA6"/>
    <w:multiLevelType w:val="hybridMultilevel"/>
    <w:tmpl w:val="A15E0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93E88"/>
    <w:multiLevelType w:val="hybridMultilevel"/>
    <w:tmpl w:val="568C9B54"/>
    <w:lvl w:ilvl="0" w:tplc="31AA9592">
      <w:numFmt w:val="bullet"/>
      <w:lvlText w:val="-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0C57"/>
    <w:multiLevelType w:val="hybridMultilevel"/>
    <w:tmpl w:val="2300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5C8A"/>
    <w:multiLevelType w:val="hybridMultilevel"/>
    <w:tmpl w:val="5F165260"/>
    <w:lvl w:ilvl="0" w:tplc="C00892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5F40"/>
    <w:multiLevelType w:val="hybridMultilevel"/>
    <w:tmpl w:val="DC30C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4C4605"/>
    <w:multiLevelType w:val="hybridMultilevel"/>
    <w:tmpl w:val="E9F85490"/>
    <w:lvl w:ilvl="0" w:tplc="B0A66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02B66"/>
    <w:multiLevelType w:val="hybridMultilevel"/>
    <w:tmpl w:val="39E2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3D29F7"/>
    <w:multiLevelType w:val="hybridMultilevel"/>
    <w:tmpl w:val="412C9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AA64C9"/>
    <w:multiLevelType w:val="hybridMultilevel"/>
    <w:tmpl w:val="106E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E37ED"/>
    <w:multiLevelType w:val="hybridMultilevel"/>
    <w:tmpl w:val="5BBCC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2837EC"/>
    <w:multiLevelType w:val="hybridMultilevel"/>
    <w:tmpl w:val="1104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F5348"/>
    <w:multiLevelType w:val="hybridMultilevel"/>
    <w:tmpl w:val="0518B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F15DC2"/>
    <w:multiLevelType w:val="hybridMultilevel"/>
    <w:tmpl w:val="3DC65640"/>
    <w:lvl w:ilvl="0" w:tplc="B0A66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16908"/>
    <w:multiLevelType w:val="hybridMultilevel"/>
    <w:tmpl w:val="62304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CC66F2"/>
    <w:multiLevelType w:val="hybridMultilevel"/>
    <w:tmpl w:val="2C82044E"/>
    <w:lvl w:ilvl="0" w:tplc="C82819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55FA8"/>
    <w:multiLevelType w:val="hybridMultilevel"/>
    <w:tmpl w:val="0AF4A76A"/>
    <w:lvl w:ilvl="0" w:tplc="31AA9592">
      <w:numFmt w:val="bullet"/>
      <w:lvlText w:val="-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34429"/>
    <w:multiLevelType w:val="hybridMultilevel"/>
    <w:tmpl w:val="321CE9DA"/>
    <w:lvl w:ilvl="0" w:tplc="31AA9592">
      <w:numFmt w:val="bullet"/>
      <w:lvlText w:val="-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26D62"/>
    <w:multiLevelType w:val="hybridMultilevel"/>
    <w:tmpl w:val="195C66A6"/>
    <w:lvl w:ilvl="0" w:tplc="31AA9592">
      <w:numFmt w:val="bullet"/>
      <w:lvlText w:val="-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680A"/>
    <w:multiLevelType w:val="hybridMultilevel"/>
    <w:tmpl w:val="229630D6"/>
    <w:lvl w:ilvl="0" w:tplc="31AA9592">
      <w:numFmt w:val="bullet"/>
      <w:lvlText w:val="-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A55FB"/>
    <w:multiLevelType w:val="hybridMultilevel"/>
    <w:tmpl w:val="97760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7700C9"/>
    <w:multiLevelType w:val="hybridMultilevel"/>
    <w:tmpl w:val="A4F4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A71F7"/>
    <w:multiLevelType w:val="hybridMultilevel"/>
    <w:tmpl w:val="709C9E2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CE6D83"/>
    <w:multiLevelType w:val="hybridMultilevel"/>
    <w:tmpl w:val="33BE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85B1A"/>
    <w:multiLevelType w:val="hybridMultilevel"/>
    <w:tmpl w:val="29286EAE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7C79E5"/>
    <w:multiLevelType w:val="hybridMultilevel"/>
    <w:tmpl w:val="7EF4B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A79AD"/>
    <w:multiLevelType w:val="hybridMultilevel"/>
    <w:tmpl w:val="E2020CE8"/>
    <w:lvl w:ilvl="0" w:tplc="64CA196E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D35057"/>
    <w:multiLevelType w:val="hybridMultilevel"/>
    <w:tmpl w:val="2F763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B037FE"/>
    <w:multiLevelType w:val="hybridMultilevel"/>
    <w:tmpl w:val="9C760690"/>
    <w:lvl w:ilvl="0" w:tplc="31AA9592">
      <w:numFmt w:val="bullet"/>
      <w:lvlText w:val="-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344BF"/>
    <w:multiLevelType w:val="hybridMultilevel"/>
    <w:tmpl w:val="2662F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7E621D"/>
    <w:multiLevelType w:val="hybridMultilevel"/>
    <w:tmpl w:val="6F00C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603EBE"/>
    <w:multiLevelType w:val="hybridMultilevel"/>
    <w:tmpl w:val="73F2A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8625F3"/>
    <w:multiLevelType w:val="hybridMultilevel"/>
    <w:tmpl w:val="1010AE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390870"/>
    <w:multiLevelType w:val="hybridMultilevel"/>
    <w:tmpl w:val="0CB4CE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1F4470"/>
    <w:multiLevelType w:val="hybridMultilevel"/>
    <w:tmpl w:val="6D98EA04"/>
    <w:lvl w:ilvl="0" w:tplc="3AD0AA5A">
      <w:start w:val="1"/>
      <w:numFmt w:val="bullet"/>
      <w:lvlText w:val="•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821D04"/>
    <w:multiLevelType w:val="hybridMultilevel"/>
    <w:tmpl w:val="3B4C3C44"/>
    <w:lvl w:ilvl="0" w:tplc="E2987F2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DF3F4D"/>
    <w:multiLevelType w:val="hybridMultilevel"/>
    <w:tmpl w:val="56EC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0E499C"/>
    <w:multiLevelType w:val="hybridMultilevel"/>
    <w:tmpl w:val="08003D74"/>
    <w:lvl w:ilvl="0" w:tplc="457881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3"/>
  </w:num>
  <w:num w:numId="5">
    <w:abstractNumId w:val="24"/>
  </w:num>
  <w:num w:numId="6">
    <w:abstractNumId w:val="31"/>
  </w:num>
  <w:num w:numId="7">
    <w:abstractNumId w:val="6"/>
  </w:num>
  <w:num w:numId="8">
    <w:abstractNumId w:val="14"/>
  </w:num>
  <w:num w:numId="9">
    <w:abstractNumId w:val="2"/>
  </w:num>
  <w:num w:numId="10">
    <w:abstractNumId w:val="9"/>
  </w:num>
  <w:num w:numId="11">
    <w:abstractNumId w:val="22"/>
  </w:num>
  <w:num w:numId="12">
    <w:abstractNumId w:val="11"/>
  </w:num>
  <w:num w:numId="13">
    <w:abstractNumId w:val="4"/>
  </w:num>
  <w:num w:numId="14">
    <w:abstractNumId w:val="23"/>
  </w:num>
  <w:num w:numId="15">
    <w:abstractNumId w:val="35"/>
  </w:num>
  <w:num w:numId="16">
    <w:abstractNumId w:val="8"/>
  </w:num>
  <w:num w:numId="17">
    <w:abstractNumId w:val="10"/>
  </w:num>
  <w:num w:numId="18">
    <w:abstractNumId w:val="20"/>
  </w:num>
  <w:num w:numId="19">
    <w:abstractNumId w:val="27"/>
  </w:num>
  <w:num w:numId="20">
    <w:abstractNumId w:val="15"/>
  </w:num>
  <w:num w:numId="21">
    <w:abstractNumId w:val="17"/>
  </w:num>
  <w:num w:numId="22">
    <w:abstractNumId w:val="1"/>
  </w:num>
  <w:num w:numId="23">
    <w:abstractNumId w:val="18"/>
  </w:num>
  <w:num w:numId="24">
    <w:abstractNumId w:val="16"/>
  </w:num>
  <w:num w:numId="25">
    <w:abstractNumId w:val="32"/>
  </w:num>
  <w:num w:numId="26">
    <w:abstractNumId w:val="13"/>
  </w:num>
  <w:num w:numId="27">
    <w:abstractNumId w:val="29"/>
  </w:num>
  <w:num w:numId="28">
    <w:abstractNumId w:val="0"/>
  </w:num>
  <w:num w:numId="29">
    <w:abstractNumId w:val="33"/>
  </w:num>
  <w:num w:numId="30">
    <w:abstractNumId w:val="7"/>
  </w:num>
  <w:num w:numId="31">
    <w:abstractNumId w:val="30"/>
  </w:num>
  <w:num w:numId="32">
    <w:abstractNumId w:val="36"/>
  </w:num>
  <w:num w:numId="33">
    <w:abstractNumId w:val="26"/>
  </w:num>
  <w:num w:numId="34">
    <w:abstractNumId w:val="34"/>
  </w:num>
  <w:num w:numId="35">
    <w:abstractNumId w:val="19"/>
  </w:num>
  <w:num w:numId="36">
    <w:abstractNumId w:val="28"/>
  </w:num>
  <w:num w:numId="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B9"/>
    <w:rsid w:val="0000029D"/>
    <w:rsid w:val="00000E2E"/>
    <w:rsid w:val="00001BD1"/>
    <w:rsid w:val="00002EBA"/>
    <w:rsid w:val="00005CA6"/>
    <w:rsid w:val="000118F2"/>
    <w:rsid w:val="00011A45"/>
    <w:rsid w:val="00012E1B"/>
    <w:rsid w:val="00015061"/>
    <w:rsid w:val="00016459"/>
    <w:rsid w:val="00017D05"/>
    <w:rsid w:val="000215FC"/>
    <w:rsid w:val="00022465"/>
    <w:rsid w:val="00023B23"/>
    <w:rsid w:val="00025E12"/>
    <w:rsid w:val="00026D71"/>
    <w:rsid w:val="00030326"/>
    <w:rsid w:val="00031704"/>
    <w:rsid w:val="0003182E"/>
    <w:rsid w:val="000327D2"/>
    <w:rsid w:val="00033122"/>
    <w:rsid w:val="00033EFD"/>
    <w:rsid w:val="00036388"/>
    <w:rsid w:val="00037D82"/>
    <w:rsid w:val="00040B29"/>
    <w:rsid w:val="00044FD7"/>
    <w:rsid w:val="00045825"/>
    <w:rsid w:val="000479DB"/>
    <w:rsid w:val="00050510"/>
    <w:rsid w:val="0005197B"/>
    <w:rsid w:val="00051AD2"/>
    <w:rsid w:val="00051F1F"/>
    <w:rsid w:val="000550A4"/>
    <w:rsid w:val="00057A25"/>
    <w:rsid w:val="00057C53"/>
    <w:rsid w:val="00057C9A"/>
    <w:rsid w:val="000600C9"/>
    <w:rsid w:val="00060FC1"/>
    <w:rsid w:val="00062998"/>
    <w:rsid w:val="0006506B"/>
    <w:rsid w:val="0006651C"/>
    <w:rsid w:val="00066F53"/>
    <w:rsid w:val="00070793"/>
    <w:rsid w:val="00070DB8"/>
    <w:rsid w:val="000749EF"/>
    <w:rsid w:val="0007667E"/>
    <w:rsid w:val="00077179"/>
    <w:rsid w:val="0007789F"/>
    <w:rsid w:val="0008044F"/>
    <w:rsid w:val="0008050E"/>
    <w:rsid w:val="00083E14"/>
    <w:rsid w:val="00084BAF"/>
    <w:rsid w:val="000858A8"/>
    <w:rsid w:val="00090399"/>
    <w:rsid w:val="00091268"/>
    <w:rsid w:val="000932B0"/>
    <w:rsid w:val="0009395C"/>
    <w:rsid w:val="00093FC9"/>
    <w:rsid w:val="00095DEE"/>
    <w:rsid w:val="00096329"/>
    <w:rsid w:val="00096927"/>
    <w:rsid w:val="00096B6D"/>
    <w:rsid w:val="00097102"/>
    <w:rsid w:val="000979B8"/>
    <w:rsid w:val="000A2AF0"/>
    <w:rsid w:val="000A3ACF"/>
    <w:rsid w:val="000A6EE0"/>
    <w:rsid w:val="000A73B2"/>
    <w:rsid w:val="000A7889"/>
    <w:rsid w:val="000B0FE0"/>
    <w:rsid w:val="000B10A2"/>
    <w:rsid w:val="000B1945"/>
    <w:rsid w:val="000B2231"/>
    <w:rsid w:val="000B2A88"/>
    <w:rsid w:val="000B3161"/>
    <w:rsid w:val="000B537D"/>
    <w:rsid w:val="000B5DC5"/>
    <w:rsid w:val="000B5E0B"/>
    <w:rsid w:val="000B7D07"/>
    <w:rsid w:val="000C01FA"/>
    <w:rsid w:val="000C0C43"/>
    <w:rsid w:val="000C2185"/>
    <w:rsid w:val="000C253C"/>
    <w:rsid w:val="000C2956"/>
    <w:rsid w:val="000C3F75"/>
    <w:rsid w:val="000C41ED"/>
    <w:rsid w:val="000C5AB6"/>
    <w:rsid w:val="000C5FA3"/>
    <w:rsid w:val="000C6595"/>
    <w:rsid w:val="000D3018"/>
    <w:rsid w:val="000D31F9"/>
    <w:rsid w:val="000D460E"/>
    <w:rsid w:val="000D46AD"/>
    <w:rsid w:val="000D5B8A"/>
    <w:rsid w:val="000E086C"/>
    <w:rsid w:val="000E3ED0"/>
    <w:rsid w:val="000E77F3"/>
    <w:rsid w:val="000E7975"/>
    <w:rsid w:val="000E7B48"/>
    <w:rsid w:val="000F163C"/>
    <w:rsid w:val="000F5947"/>
    <w:rsid w:val="000F66CD"/>
    <w:rsid w:val="00100407"/>
    <w:rsid w:val="00100BDB"/>
    <w:rsid w:val="001027A8"/>
    <w:rsid w:val="00102E8F"/>
    <w:rsid w:val="0010497E"/>
    <w:rsid w:val="00104C08"/>
    <w:rsid w:val="0010541F"/>
    <w:rsid w:val="0010577F"/>
    <w:rsid w:val="001059C9"/>
    <w:rsid w:val="00105BAD"/>
    <w:rsid w:val="0010662C"/>
    <w:rsid w:val="001068DC"/>
    <w:rsid w:val="00106D8B"/>
    <w:rsid w:val="001075F3"/>
    <w:rsid w:val="00110353"/>
    <w:rsid w:val="001110C6"/>
    <w:rsid w:val="00112D3B"/>
    <w:rsid w:val="00113C99"/>
    <w:rsid w:val="0011475D"/>
    <w:rsid w:val="00115179"/>
    <w:rsid w:val="00122895"/>
    <w:rsid w:val="00123DCF"/>
    <w:rsid w:val="001240D2"/>
    <w:rsid w:val="00124530"/>
    <w:rsid w:val="0012479D"/>
    <w:rsid w:val="001249C1"/>
    <w:rsid w:val="00124AA9"/>
    <w:rsid w:val="001255F9"/>
    <w:rsid w:val="00126993"/>
    <w:rsid w:val="001339A6"/>
    <w:rsid w:val="00137F40"/>
    <w:rsid w:val="0014048E"/>
    <w:rsid w:val="00140F86"/>
    <w:rsid w:val="00141D60"/>
    <w:rsid w:val="00143478"/>
    <w:rsid w:val="00143EC2"/>
    <w:rsid w:val="00146E79"/>
    <w:rsid w:val="00147B70"/>
    <w:rsid w:val="00150332"/>
    <w:rsid w:val="0015159D"/>
    <w:rsid w:val="00151729"/>
    <w:rsid w:val="0015320D"/>
    <w:rsid w:val="00154F48"/>
    <w:rsid w:val="00155C24"/>
    <w:rsid w:val="00156591"/>
    <w:rsid w:val="00157B51"/>
    <w:rsid w:val="0016156D"/>
    <w:rsid w:val="00162740"/>
    <w:rsid w:val="0016431A"/>
    <w:rsid w:val="00164B65"/>
    <w:rsid w:val="00171FD9"/>
    <w:rsid w:val="00172CF4"/>
    <w:rsid w:val="00174513"/>
    <w:rsid w:val="001766B6"/>
    <w:rsid w:val="00177AC5"/>
    <w:rsid w:val="00177D96"/>
    <w:rsid w:val="00177E83"/>
    <w:rsid w:val="00181B02"/>
    <w:rsid w:val="00182362"/>
    <w:rsid w:val="001832AD"/>
    <w:rsid w:val="00183608"/>
    <w:rsid w:val="00183F24"/>
    <w:rsid w:val="00187965"/>
    <w:rsid w:val="00187A51"/>
    <w:rsid w:val="00191596"/>
    <w:rsid w:val="00193093"/>
    <w:rsid w:val="00193D4E"/>
    <w:rsid w:val="001951B2"/>
    <w:rsid w:val="001952D6"/>
    <w:rsid w:val="00195B18"/>
    <w:rsid w:val="001975CD"/>
    <w:rsid w:val="001A0916"/>
    <w:rsid w:val="001A1C7F"/>
    <w:rsid w:val="001A2775"/>
    <w:rsid w:val="001A3389"/>
    <w:rsid w:val="001A33D0"/>
    <w:rsid w:val="001A3EBC"/>
    <w:rsid w:val="001A5019"/>
    <w:rsid w:val="001B1E48"/>
    <w:rsid w:val="001B4DF9"/>
    <w:rsid w:val="001B5885"/>
    <w:rsid w:val="001B7AD3"/>
    <w:rsid w:val="001C0287"/>
    <w:rsid w:val="001C0D80"/>
    <w:rsid w:val="001C2442"/>
    <w:rsid w:val="001C3B54"/>
    <w:rsid w:val="001C63A1"/>
    <w:rsid w:val="001D0AEA"/>
    <w:rsid w:val="001D0D8C"/>
    <w:rsid w:val="001D1DCD"/>
    <w:rsid w:val="001D37C5"/>
    <w:rsid w:val="001D74B3"/>
    <w:rsid w:val="001E1B61"/>
    <w:rsid w:val="001E23DC"/>
    <w:rsid w:val="001E23EB"/>
    <w:rsid w:val="001E734B"/>
    <w:rsid w:val="001F0E63"/>
    <w:rsid w:val="001F2834"/>
    <w:rsid w:val="001F50EF"/>
    <w:rsid w:val="001F5765"/>
    <w:rsid w:val="001F5F2C"/>
    <w:rsid w:val="001F78DD"/>
    <w:rsid w:val="00200D7F"/>
    <w:rsid w:val="00201255"/>
    <w:rsid w:val="00201D92"/>
    <w:rsid w:val="00201FE8"/>
    <w:rsid w:val="0020246F"/>
    <w:rsid w:val="00205D65"/>
    <w:rsid w:val="002065F4"/>
    <w:rsid w:val="00207859"/>
    <w:rsid w:val="002104B1"/>
    <w:rsid w:val="0021110F"/>
    <w:rsid w:val="002129EA"/>
    <w:rsid w:val="002143D9"/>
    <w:rsid w:val="002148DE"/>
    <w:rsid w:val="002179CE"/>
    <w:rsid w:val="0022023C"/>
    <w:rsid w:val="0022069F"/>
    <w:rsid w:val="00220806"/>
    <w:rsid w:val="00221A94"/>
    <w:rsid w:val="002229BC"/>
    <w:rsid w:val="00223E6A"/>
    <w:rsid w:val="00224219"/>
    <w:rsid w:val="00232235"/>
    <w:rsid w:val="002353B1"/>
    <w:rsid w:val="0023737F"/>
    <w:rsid w:val="00237790"/>
    <w:rsid w:val="00240E71"/>
    <w:rsid w:val="00240F47"/>
    <w:rsid w:val="0024303A"/>
    <w:rsid w:val="0024481B"/>
    <w:rsid w:val="0025187A"/>
    <w:rsid w:val="00251E45"/>
    <w:rsid w:val="00252D16"/>
    <w:rsid w:val="00253159"/>
    <w:rsid w:val="002539D5"/>
    <w:rsid w:val="00255409"/>
    <w:rsid w:val="00255C8A"/>
    <w:rsid w:val="00256552"/>
    <w:rsid w:val="00256AD6"/>
    <w:rsid w:val="00256C8B"/>
    <w:rsid w:val="00257538"/>
    <w:rsid w:val="00262FAB"/>
    <w:rsid w:val="0026344E"/>
    <w:rsid w:val="002638CD"/>
    <w:rsid w:val="00263BAB"/>
    <w:rsid w:val="0026517B"/>
    <w:rsid w:val="002657F9"/>
    <w:rsid w:val="00266A23"/>
    <w:rsid w:val="002702F4"/>
    <w:rsid w:val="00270A7B"/>
    <w:rsid w:val="00271819"/>
    <w:rsid w:val="00273A5C"/>
    <w:rsid w:val="00273BED"/>
    <w:rsid w:val="00274356"/>
    <w:rsid w:val="00274914"/>
    <w:rsid w:val="0027512E"/>
    <w:rsid w:val="00277265"/>
    <w:rsid w:val="002813B2"/>
    <w:rsid w:val="002817F3"/>
    <w:rsid w:val="00282A3B"/>
    <w:rsid w:val="002859DD"/>
    <w:rsid w:val="00287056"/>
    <w:rsid w:val="00287F0F"/>
    <w:rsid w:val="00290337"/>
    <w:rsid w:val="00290B4E"/>
    <w:rsid w:val="002913A9"/>
    <w:rsid w:val="00295F41"/>
    <w:rsid w:val="00297B29"/>
    <w:rsid w:val="00297E6A"/>
    <w:rsid w:val="00297EEF"/>
    <w:rsid w:val="002A1149"/>
    <w:rsid w:val="002A3045"/>
    <w:rsid w:val="002A4B50"/>
    <w:rsid w:val="002A52B5"/>
    <w:rsid w:val="002A6B72"/>
    <w:rsid w:val="002A7613"/>
    <w:rsid w:val="002B04E8"/>
    <w:rsid w:val="002B06FA"/>
    <w:rsid w:val="002B0701"/>
    <w:rsid w:val="002B185D"/>
    <w:rsid w:val="002B1C71"/>
    <w:rsid w:val="002B2CBF"/>
    <w:rsid w:val="002B4AAD"/>
    <w:rsid w:val="002B5473"/>
    <w:rsid w:val="002B754F"/>
    <w:rsid w:val="002B7BF4"/>
    <w:rsid w:val="002C0561"/>
    <w:rsid w:val="002C31CB"/>
    <w:rsid w:val="002C56ED"/>
    <w:rsid w:val="002C571C"/>
    <w:rsid w:val="002C79A8"/>
    <w:rsid w:val="002D0605"/>
    <w:rsid w:val="002D067F"/>
    <w:rsid w:val="002D18A0"/>
    <w:rsid w:val="002D2342"/>
    <w:rsid w:val="002D2DBD"/>
    <w:rsid w:val="002D30A2"/>
    <w:rsid w:val="002D6AEC"/>
    <w:rsid w:val="002D7197"/>
    <w:rsid w:val="002D7668"/>
    <w:rsid w:val="002E06B8"/>
    <w:rsid w:val="002E1534"/>
    <w:rsid w:val="002E2922"/>
    <w:rsid w:val="002E417C"/>
    <w:rsid w:val="002E5F56"/>
    <w:rsid w:val="002E76B2"/>
    <w:rsid w:val="002F09DC"/>
    <w:rsid w:val="002F2747"/>
    <w:rsid w:val="002F2A20"/>
    <w:rsid w:val="002F7FB5"/>
    <w:rsid w:val="00301171"/>
    <w:rsid w:val="00313BF1"/>
    <w:rsid w:val="003140F4"/>
    <w:rsid w:val="00314E32"/>
    <w:rsid w:val="00315F8D"/>
    <w:rsid w:val="0031761E"/>
    <w:rsid w:val="00317A05"/>
    <w:rsid w:val="00320A59"/>
    <w:rsid w:val="00321589"/>
    <w:rsid w:val="00321A68"/>
    <w:rsid w:val="00322159"/>
    <w:rsid w:val="00322C0F"/>
    <w:rsid w:val="00325571"/>
    <w:rsid w:val="00326392"/>
    <w:rsid w:val="00330793"/>
    <w:rsid w:val="003332CF"/>
    <w:rsid w:val="00333D30"/>
    <w:rsid w:val="00334E0A"/>
    <w:rsid w:val="00335277"/>
    <w:rsid w:val="0033694F"/>
    <w:rsid w:val="003370C8"/>
    <w:rsid w:val="0034010A"/>
    <w:rsid w:val="003409C7"/>
    <w:rsid w:val="003422BB"/>
    <w:rsid w:val="00342835"/>
    <w:rsid w:val="003428A5"/>
    <w:rsid w:val="00345353"/>
    <w:rsid w:val="003453B6"/>
    <w:rsid w:val="0034594E"/>
    <w:rsid w:val="00347B3A"/>
    <w:rsid w:val="00350B6D"/>
    <w:rsid w:val="00351107"/>
    <w:rsid w:val="003516C7"/>
    <w:rsid w:val="0035311F"/>
    <w:rsid w:val="00353E86"/>
    <w:rsid w:val="00354249"/>
    <w:rsid w:val="0035624D"/>
    <w:rsid w:val="00356F0E"/>
    <w:rsid w:val="00361350"/>
    <w:rsid w:val="00364573"/>
    <w:rsid w:val="00367951"/>
    <w:rsid w:val="00367A34"/>
    <w:rsid w:val="003701E4"/>
    <w:rsid w:val="0037110B"/>
    <w:rsid w:val="00371992"/>
    <w:rsid w:val="00372A8D"/>
    <w:rsid w:val="00375557"/>
    <w:rsid w:val="00375C17"/>
    <w:rsid w:val="00376DCE"/>
    <w:rsid w:val="00377E85"/>
    <w:rsid w:val="00380023"/>
    <w:rsid w:val="00380C76"/>
    <w:rsid w:val="00381138"/>
    <w:rsid w:val="00382370"/>
    <w:rsid w:val="003867F3"/>
    <w:rsid w:val="0038686C"/>
    <w:rsid w:val="00391978"/>
    <w:rsid w:val="00394D5F"/>
    <w:rsid w:val="00396630"/>
    <w:rsid w:val="003A1270"/>
    <w:rsid w:val="003A1283"/>
    <w:rsid w:val="003A1A21"/>
    <w:rsid w:val="003A2F67"/>
    <w:rsid w:val="003A5C1D"/>
    <w:rsid w:val="003B06D7"/>
    <w:rsid w:val="003B2027"/>
    <w:rsid w:val="003B27C5"/>
    <w:rsid w:val="003B2C52"/>
    <w:rsid w:val="003B444F"/>
    <w:rsid w:val="003B51C3"/>
    <w:rsid w:val="003B5D4E"/>
    <w:rsid w:val="003C22FC"/>
    <w:rsid w:val="003C3504"/>
    <w:rsid w:val="003C42DC"/>
    <w:rsid w:val="003C5D42"/>
    <w:rsid w:val="003D045D"/>
    <w:rsid w:val="003D0D16"/>
    <w:rsid w:val="003D1C19"/>
    <w:rsid w:val="003D2FB8"/>
    <w:rsid w:val="003D6176"/>
    <w:rsid w:val="003E1939"/>
    <w:rsid w:val="003E4C90"/>
    <w:rsid w:val="003E7035"/>
    <w:rsid w:val="003E7C06"/>
    <w:rsid w:val="003F0D4E"/>
    <w:rsid w:val="003F1309"/>
    <w:rsid w:val="003F1F53"/>
    <w:rsid w:val="003F212A"/>
    <w:rsid w:val="003F37E2"/>
    <w:rsid w:val="003F49D5"/>
    <w:rsid w:val="003F52C6"/>
    <w:rsid w:val="003F719D"/>
    <w:rsid w:val="004007C1"/>
    <w:rsid w:val="004017F3"/>
    <w:rsid w:val="00402061"/>
    <w:rsid w:val="004073F5"/>
    <w:rsid w:val="00407A35"/>
    <w:rsid w:val="00411619"/>
    <w:rsid w:val="004129E0"/>
    <w:rsid w:val="0041324B"/>
    <w:rsid w:val="004134C1"/>
    <w:rsid w:val="00413B8E"/>
    <w:rsid w:val="00414F78"/>
    <w:rsid w:val="00421163"/>
    <w:rsid w:val="00421644"/>
    <w:rsid w:val="00421CDF"/>
    <w:rsid w:val="0042261F"/>
    <w:rsid w:val="00422B47"/>
    <w:rsid w:val="004237EA"/>
    <w:rsid w:val="00425CC1"/>
    <w:rsid w:val="00426A78"/>
    <w:rsid w:val="0043074B"/>
    <w:rsid w:val="004316DE"/>
    <w:rsid w:val="0043208C"/>
    <w:rsid w:val="004360A5"/>
    <w:rsid w:val="00436D33"/>
    <w:rsid w:val="00440359"/>
    <w:rsid w:val="0044135B"/>
    <w:rsid w:val="00442C1C"/>
    <w:rsid w:val="00450091"/>
    <w:rsid w:val="00452DAE"/>
    <w:rsid w:val="00452F74"/>
    <w:rsid w:val="004535EA"/>
    <w:rsid w:val="0046088D"/>
    <w:rsid w:val="0046089B"/>
    <w:rsid w:val="004609C9"/>
    <w:rsid w:val="00462864"/>
    <w:rsid w:val="004650C1"/>
    <w:rsid w:val="0046514B"/>
    <w:rsid w:val="004666EC"/>
    <w:rsid w:val="00467C7B"/>
    <w:rsid w:val="00470B66"/>
    <w:rsid w:val="00471322"/>
    <w:rsid w:val="00472242"/>
    <w:rsid w:val="00474768"/>
    <w:rsid w:val="00474DAB"/>
    <w:rsid w:val="0047707B"/>
    <w:rsid w:val="00481250"/>
    <w:rsid w:val="00482E88"/>
    <w:rsid w:val="00482FE2"/>
    <w:rsid w:val="00483A09"/>
    <w:rsid w:val="00484CC5"/>
    <w:rsid w:val="00485A47"/>
    <w:rsid w:val="004915F9"/>
    <w:rsid w:val="004917AE"/>
    <w:rsid w:val="00491BB9"/>
    <w:rsid w:val="004923D8"/>
    <w:rsid w:val="00492FF6"/>
    <w:rsid w:val="004938FC"/>
    <w:rsid w:val="00494BE2"/>
    <w:rsid w:val="004960B2"/>
    <w:rsid w:val="004967CD"/>
    <w:rsid w:val="00497415"/>
    <w:rsid w:val="004A0168"/>
    <w:rsid w:val="004A033F"/>
    <w:rsid w:val="004A1387"/>
    <w:rsid w:val="004A1BA8"/>
    <w:rsid w:val="004A230D"/>
    <w:rsid w:val="004A3AC4"/>
    <w:rsid w:val="004A5460"/>
    <w:rsid w:val="004A6A27"/>
    <w:rsid w:val="004A739D"/>
    <w:rsid w:val="004A7EEF"/>
    <w:rsid w:val="004B2DF0"/>
    <w:rsid w:val="004B3F2A"/>
    <w:rsid w:val="004B6810"/>
    <w:rsid w:val="004B7260"/>
    <w:rsid w:val="004C0C68"/>
    <w:rsid w:val="004C35FE"/>
    <w:rsid w:val="004C50C0"/>
    <w:rsid w:val="004C6574"/>
    <w:rsid w:val="004D01C5"/>
    <w:rsid w:val="004D2B53"/>
    <w:rsid w:val="004D2CF4"/>
    <w:rsid w:val="004D2E78"/>
    <w:rsid w:val="004D4545"/>
    <w:rsid w:val="004D4E7B"/>
    <w:rsid w:val="004E2C6C"/>
    <w:rsid w:val="004E2C78"/>
    <w:rsid w:val="004F02BA"/>
    <w:rsid w:val="004F0DE4"/>
    <w:rsid w:val="004F379E"/>
    <w:rsid w:val="004F4032"/>
    <w:rsid w:val="004F5330"/>
    <w:rsid w:val="004F5B01"/>
    <w:rsid w:val="004F798C"/>
    <w:rsid w:val="005028B3"/>
    <w:rsid w:val="00503216"/>
    <w:rsid w:val="00503332"/>
    <w:rsid w:val="005035D8"/>
    <w:rsid w:val="005037CB"/>
    <w:rsid w:val="00505C67"/>
    <w:rsid w:val="0050632E"/>
    <w:rsid w:val="005065FD"/>
    <w:rsid w:val="00507511"/>
    <w:rsid w:val="00515D90"/>
    <w:rsid w:val="00522013"/>
    <w:rsid w:val="005226C9"/>
    <w:rsid w:val="00524D33"/>
    <w:rsid w:val="00525E61"/>
    <w:rsid w:val="005268FD"/>
    <w:rsid w:val="00531182"/>
    <w:rsid w:val="0053258F"/>
    <w:rsid w:val="00532B99"/>
    <w:rsid w:val="005346A1"/>
    <w:rsid w:val="00536FDD"/>
    <w:rsid w:val="00540126"/>
    <w:rsid w:val="0054198A"/>
    <w:rsid w:val="0054311D"/>
    <w:rsid w:val="00543564"/>
    <w:rsid w:val="0054503E"/>
    <w:rsid w:val="00545AB9"/>
    <w:rsid w:val="0054617C"/>
    <w:rsid w:val="00546BC4"/>
    <w:rsid w:val="00546F04"/>
    <w:rsid w:val="0055108A"/>
    <w:rsid w:val="00551D02"/>
    <w:rsid w:val="005524ED"/>
    <w:rsid w:val="00553B6D"/>
    <w:rsid w:val="00555236"/>
    <w:rsid w:val="005602C2"/>
    <w:rsid w:val="00560448"/>
    <w:rsid w:val="0056106C"/>
    <w:rsid w:val="00561403"/>
    <w:rsid w:val="005618A4"/>
    <w:rsid w:val="00562176"/>
    <w:rsid w:val="00562981"/>
    <w:rsid w:val="00565E9A"/>
    <w:rsid w:val="00565EFE"/>
    <w:rsid w:val="0056656D"/>
    <w:rsid w:val="00566E56"/>
    <w:rsid w:val="0056785F"/>
    <w:rsid w:val="00567BF0"/>
    <w:rsid w:val="0057089E"/>
    <w:rsid w:val="00570A82"/>
    <w:rsid w:val="00571F0B"/>
    <w:rsid w:val="00572773"/>
    <w:rsid w:val="005729EF"/>
    <w:rsid w:val="00572C5D"/>
    <w:rsid w:val="00573005"/>
    <w:rsid w:val="00573E19"/>
    <w:rsid w:val="00577F98"/>
    <w:rsid w:val="0058012F"/>
    <w:rsid w:val="00582C69"/>
    <w:rsid w:val="00585032"/>
    <w:rsid w:val="00586713"/>
    <w:rsid w:val="0058772B"/>
    <w:rsid w:val="00590C7E"/>
    <w:rsid w:val="00591091"/>
    <w:rsid w:val="005915CD"/>
    <w:rsid w:val="0059280F"/>
    <w:rsid w:val="00593357"/>
    <w:rsid w:val="00593742"/>
    <w:rsid w:val="00595BB1"/>
    <w:rsid w:val="005A09F0"/>
    <w:rsid w:val="005A19EE"/>
    <w:rsid w:val="005A1DFE"/>
    <w:rsid w:val="005A21A7"/>
    <w:rsid w:val="005A2C6C"/>
    <w:rsid w:val="005A3324"/>
    <w:rsid w:val="005B083B"/>
    <w:rsid w:val="005B0C60"/>
    <w:rsid w:val="005B1BF5"/>
    <w:rsid w:val="005B3D65"/>
    <w:rsid w:val="005B451D"/>
    <w:rsid w:val="005C01E7"/>
    <w:rsid w:val="005C1C35"/>
    <w:rsid w:val="005C2157"/>
    <w:rsid w:val="005C2C9C"/>
    <w:rsid w:val="005C2EE9"/>
    <w:rsid w:val="005C303A"/>
    <w:rsid w:val="005C342E"/>
    <w:rsid w:val="005C39CB"/>
    <w:rsid w:val="005C4AC8"/>
    <w:rsid w:val="005C6568"/>
    <w:rsid w:val="005C6C8A"/>
    <w:rsid w:val="005C6F0A"/>
    <w:rsid w:val="005D089E"/>
    <w:rsid w:val="005D0A66"/>
    <w:rsid w:val="005D194F"/>
    <w:rsid w:val="005D47A8"/>
    <w:rsid w:val="005D4A22"/>
    <w:rsid w:val="005D4D78"/>
    <w:rsid w:val="005D5B83"/>
    <w:rsid w:val="005D60E6"/>
    <w:rsid w:val="005E01F7"/>
    <w:rsid w:val="005E3CE6"/>
    <w:rsid w:val="005E432B"/>
    <w:rsid w:val="005E44D4"/>
    <w:rsid w:val="005E4F9F"/>
    <w:rsid w:val="005E5730"/>
    <w:rsid w:val="005E5C9D"/>
    <w:rsid w:val="005E5DD8"/>
    <w:rsid w:val="005E6187"/>
    <w:rsid w:val="005E6554"/>
    <w:rsid w:val="005F03CC"/>
    <w:rsid w:val="005F20C5"/>
    <w:rsid w:val="005F4C73"/>
    <w:rsid w:val="0060151F"/>
    <w:rsid w:val="006024F9"/>
    <w:rsid w:val="006027B0"/>
    <w:rsid w:val="00602B57"/>
    <w:rsid w:val="00602E23"/>
    <w:rsid w:val="0060480F"/>
    <w:rsid w:val="00607330"/>
    <w:rsid w:val="00607401"/>
    <w:rsid w:val="00607701"/>
    <w:rsid w:val="00607F37"/>
    <w:rsid w:val="00607FC6"/>
    <w:rsid w:val="006108D2"/>
    <w:rsid w:val="00611FFE"/>
    <w:rsid w:val="00612764"/>
    <w:rsid w:val="00613A30"/>
    <w:rsid w:val="0061766E"/>
    <w:rsid w:val="006202BD"/>
    <w:rsid w:val="00621ACB"/>
    <w:rsid w:val="006221BD"/>
    <w:rsid w:val="00622383"/>
    <w:rsid w:val="006226F9"/>
    <w:rsid w:val="006229F9"/>
    <w:rsid w:val="006241E0"/>
    <w:rsid w:val="00625C80"/>
    <w:rsid w:val="006321E4"/>
    <w:rsid w:val="006323D5"/>
    <w:rsid w:val="006324E9"/>
    <w:rsid w:val="0063260D"/>
    <w:rsid w:val="00637424"/>
    <w:rsid w:val="00637917"/>
    <w:rsid w:val="00637D71"/>
    <w:rsid w:val="0064305F"/>
    <w:rsid w:val="0064447B"/>
    <w:rsid w:val="006448B8"/>
    <w:rsid w:val="00646CB9"/>
    <w:rsid w:val="00647622"/>
    <w:rsid w:val="00650E4D"/>
    <w:rsid w:val="00650FDA"/>
    <w:rsid w:val="00651614"/>
    <w:rsid w:val="00652B5A"/>
    <w:rsid w:val="00654BA3"/>
    <w:rsid w:val="00655DF6"/>
    <w:rsid w:val="00657A32"/>
    <w:rsid w:val="00661EFD"/>
    <w:rsid w:val="00662732"/>
    <w:rsid w:val="00663EA6"/>
    <w:rsid w:val="00664ECC"/>
    <w:rsid w:val="00665247"/>
    <w:rsid w:val="006654EB"/>
    <w:rsid w:val="006655EC"/>
    <w:rsid w:val="00666104"/>
    <w:rsid w:val="006706B7"/>
    <w:rsid w:val="006706D7"/>
    <w:rsid w:val="00671B2F"/>
    <w:rsid w:val="0067235E"/>
    <w:rsid w:val="0067247F"/>
    <w:rsid w:val="00673CA9"/>
    <w:rsid w:val="006742F8"/>
    <w:rsid w:val="00674755"/>
    <w:rsid w:val="0067486D"/>
    <w:rsid w:val="00675D48"/>
    <w:rsid w:val="006808D6"/>
    <w:rsid w:val="00685CFA"/>
    <w:rsid w:val="00687A9C"/>
    <w:rsid w:val="0069169D"/>
    <w:rsid w:val="0069241B"/>
    <w:rsid w:val="0069253C"/>
    <w:rsid w:val="006932DE"/>
    <w:rsid w:val="00693437"/>
    <w:rsid w:val="0069449D"/>
    <w:rsid w:val="00694AEF"/>
    <w:rsid w:val="00694D2A"/>
    <w:rsid w:val="00694D55"/>
    <w:rsid w:val="006965AF"/>
    <w:rsid w:val="00696F5B"/>
    <w:rsid w:val="006973D0"/>
    <w:rsid w:val="00697A7F"/>
    <w:rsid w:val="006A02F9"/>
    <w:rsid w:val="006A2C8A"/>
    <w:rsid w:val="006A3C84"/>
    <w:rsid w:val="006A4D43"/>
    <w:rsid w:val="006A675D"/>
    <w:rsid w:val="006B294E"/>
    <w:rsid w:val="006B2EFA"/>
    <w:rsid w:val="006B482A"/>
    <w:rsid w:val="006B515A"/>
    <w:rsid w:val="006B51E9"/>
    <w:rsid w:val="006B6D1A"/>
    <w:rsid w:val="006B7224"/>
    <w:rsid w:val="006C0CDE"/>
    <w:rsid w:val="006C0D2C"/>
    <w:rsid w:val="006C57E8"/>
    <w:rsid w:val="006C689F"/>
    <w:rsid w:val="006C746B"/>
    <w:rsid w:val="006C7F8F"/>
    <w:rsid w:val="006D0162"/>
    <w:rsid w:val="006D36CC"/>
    <w:rsid w:val="006D39B7"/>
    <w:rsid w:val="006D7812"/>
    <w:rsid w:val="006D7F9C"/>
    <w:rsid w:val="006E0255"/>
    <w:rsid w:val="006E1F4B"/>
    <w:rsid w:val="006E21B5"/>
    <w:rsid w:val="006E271C"/>
    <w:rsid w:val="006E3EC9"/>
    <w:rsid w:val="006E4C58"/>
    <w:rsid w:val="006E6EAF"/>
    <w:rsid w:val="006E73E8"/>
    <w:rsid w:val="006E7A41"/>
    <w:rsid w:val="006E7CBE"/>
    <w:rsid w:val="006E7D25"/>
    <w:rsid w:val="006F0DCA"/>
    <w:rsid w:val="006F1A9F"/>
    <w:rsid w:val="006F3B10"/>
    <w:rsid w:val="006F44A9"/>
    <w:rsid w:val="006F534D"/>
    <w:rsid w:val="006F5FE0"/>
    <w:rsid w:val="006F6156"/>
    <w:rsid w:val="006F7426"/>
    <w:rsid w:val="006F749D"/>
    <w:rsid w:val="00700A18"/>
    <w:rsid w:val="00701211"/>
    <w:rsid w:val="00702150"/>
    <w:rsid w:val="00702BDE"/>
    <w:rsid w:val="00703EDC"/>
    <w:rsid w:val="007041B8"/>
    <w:rsid w:val="00704B03"/>
    <w:rsid w:val="00705083"/>
    <w:rsid w:val="00705AE0"/>
    <w:rsid w:val="007065D9"/>
    <w:rsid w:val="00707FE1"/>
    <w:rsid w:val="007106AE"/>
    <w:rsid w:val="00710CA6"/>
    <w:rsid w:val="00710DB0"/>
    <w:rsid w:val="00713D9A"/>
    <w:rsid w:val="00714419"/>
    <w:rsid w:val="00714B29"/>
    <w:rsid w:val="00716A5B"/>
    <w:rsid w:val="00717C6D"/>
    <w:rsid w:val="007208D6"/>
    <w:rsid w:val="00725852"/>
    <w:rsid w:val="00725894"/>
    <w:rsid w:val="007262A4"/>
    <w:rsid w:val="00726555"/>
    <w:rsid w:val="007268DF"/>
    <w:rsid w:val="007272E9"/>
    <w:rsid w:val="00727DE1"/>
    <w:rsid w:val="00734066"/>
    <w:rsid w:val="00740B35"/>
    <w:rsid w:val="00740D70"/>
    <w:rsid w:val="00741557"/>
    <w:rsid w:val="00741F82"/>
    <w:rsid w:val="0074219A"/>
    <w:rsid w:val="007421BA"/>
    <w:rsid w:val="007425B2"/>
    <w:rsid w:val="00742FF9"/>
    <w:rsid w:val="007432E9"/>
    <w:rsid w:val="00743B77"/>
    <w:rsid w:val="00744C15"/>
    <w:rsid w:val="00750D44"/>
    <w:rsid w:val="00752C72"/>
    <w:rsid w:val="00753949"/>
    <w:rsid w:val="007540B7"/>
    <w:rsid w:val="007543FA"/>
    <w:rsid w:val="00757AA3"/>
    <w:rsid w:val="0076247C"/>
    <w:rsid w:val="007627C1"/>
    <w:rsid w:val="00762AA1"/>
    <w:rsid w:val="00762C25"/>
    <w:rsid w:val="0076480B"/>
    <w:rsid w:val="007658FB"/>
    <w:rsid w:val="00766F6E"/>
    <w:rsid w:val="00772DE6"/>
    <w:rsid w:val="00782924"/>
    <w:rsid w:val="00784682"/>
    <w:rsid w:val="007849AE"/>
    <w:rsid w:val="00784DA4"/>
    <w:rsid w:val="00787C78"/>
    <w:rsid w:val="00787FB0"/>
    <w:rsid w:val="00790783"/>
    <w:rsid w:val="0079116E"/>
    <w:rsid w:val="0079274E"/>
    <w:rsid w:val="00794906"/>
    <w:rsid w:val="0079673D"/>
    <w:rsid w:val="00797274"/>
    <w:rsid w:val="00797403"/>
    <w:rsid w:val="00797EF9"/>
    <w:rsid w:val="007A0EF5"/>
    <w:rsid w:val="007A2D6E"/>
    <w:rsid w:val="007A5D29"/>
    <w:rsid w:val="007B0059"/>
    <w:rsid w:val="007B27B6"/>
    <w:rsid w:val="007B3F34"/>
    <w:rsid w:val="007B50A5"/>
    <w:rsid w:val="007B5194"/>
    <w:rsid w:val="007B570C"/>
    <w:rsid w:val="007B5C60"/>
    <w:rsid w:val="007B5CC4"/>
    <w:rsid w:val="007B5D74"/>
    <w:rsid w:val="007B5F03"/>
    <w:rsid w:val="007C017A"/>
    <w:rsid w:val="007C0B51"/>
    <w:rsid w:val="007C1D23"/>
    <w:rsid w:val="007C2C07"/>
    <w:rsid w:val="007C3057"/>
    <w:rsid w:val="007C3737"/>
    <w:rsid w:val="007C402A"/>
    <w:rsid w:val="007C4515"/>
    <w:rsid w:val="007C49D7"/>
    <w:rsid w:val="007C61CD"/>
    <w:rsid w:val="007C6EEC"/>
    <w:rsid w:val="007D1768"/>
    <w:rsid w:val="007D2561"/>
    <w:rsid w:val="007D2FB2"/>
    <w:rsid w:val="007D4D26"/>
    <w:rsid w:val="007D4F6F"/>
    <w:rsid w:val="007D5039"/>
    <w:rsid w:val="007D5349"/>
    <w:rsid w:val="007D5777"/>
    <w:rsid w:val="007D5D64"/>
    <w:rsid w:val="007D5FC9"/>
    <w:rsid w:val="007D7699"/>
    <w:rsid w:val="007D7CC7"/>
    <w:rsid w:val="007E0433"/>
    <w:rsid w:val="007E1719"/>
    <w:rsid w:val="007E2ACA"/>
    <w:rsid w:val="007E32EB"/>
    <w:rsid w:val="007E363B"/>
    <w:rsid w:val="007E4422"/>
    <w:rsid w:val="007E4BE1"/>
    <w:rsid w:val="007E5DA2"/>
    <w:rsid w:val="007E6F4A"/>
    <w:rsid w:val="007E7D28"/>
    <w:rsid w:val="007F0627"/>
    <w:rsid w:val="007F149E"/>
    <w:rsid w:val="007F26A7"/>
    <w:rsid w:val="007F2D16"/>
    <w:rsid w:val="007F3E02"/>
    <w:rsid w:val="007F495B"/>
    <w:rsid w:val="007F4A80"/>
    <w:rsid w:val="007F5024"/>
    <w:rsid w:val="007F6B37"/>
    <w:rsid w:val="007F7942"/>
    <w:rsid w:val="008015E0"/>
    <w:rsid w:val="008025C4"/>
    <w:rsid w:val="00802F15"/>
    <w:rsid w:val="00805085"/>
    <w:rsid w:val="00805337"/>
    <w:rsid w:val="00805C12"/>
    <w:rsid w:val="00805D03"/>
    <w:rsid w:val="008063F5"/>
    <w:rsid w:val="008067BB"/>
    <w:rsid w:val="00807E33"/>
    <w:rsid w:val="008117B8"/>
    <w:rsid w:val="00812013"/>
    <w:rsid w:val="00814003"/>
    <w:rsid w:val="00820358"/>
    <w:rsid w:val="008206C7"/>
    <w:rsid w:val="008211F4"/>
    <w:rsid w:val="0082206D"/>
    <w:rsid w:val="00823226"/>
    <w:rsid w:val="00825863"/>
    <w:rsid w:val="008259E5"/>
    <w:rsid w:val="00827332"/>
    <w:rsid w:val="00827AD2"/>
    <w:rsid w:val="00830F85"/>
    <w:rsid w:val="00833508"/>
    <w:rsid w:val="00833B25"/>
    <w:rsid w:val="00833ED5"/>
    <w:rsid w:val="008341A1"/>
    <w:rsid w:val="0083484E"/>
    <w:rsid w:val="00841D2F"/>
    <w:rsid w:val="00842420"/>
    <w:rsid w:val="00842CC8"/>
    <w:rsid w:val="008465D5"/>
    <w:rsid w:val="00846AA3"/>
    <w:rsid w:val="008474F1"/>
    <w:rsid w:val="00847EDC"/>
    <w:rsid w:val="008510E5"/>
    <w:rsid w:val="00852BF7"/>
    <w:rsid w:val="00853AC9"/>
    <w:rsid w:val="00853AFE"/>
    <w:rsid w:val="008549A2"/>
    <w:rsid w:val="008554B0"/>
    <w:rsid w:val="00855625"/>
    <w:rsid w:val="008566EC"/>
    <w:rsid w:val="0085684E"/>
    <w:rsid w:val="00856AE0"/>
    <w:rsid w:val="00856C44"/>
    <w:rsid w:val="00856E12"/>
    <w:rsid w:val="008574D1"/>
    <w:rsid w:val="00860720"/>
    <w:rsid w:val="00861320"/>
    <w:rsid w:val="00861400"/>
    <w:rsid w:val="00861E8F"/>
    <w:rsid w:val="00862163"/>
    <w:rsid w:val="0086576E"/>
    <w:rsid w:val="00866A47"/>
    <w:rsid w:val="00866FBF"/>
    <w:rsid w:val="0087405C"/>
    <w:rsid w:val="00876D29"/>
    <w:rsid w:val="008776C3"/>
    <w:rsid w:val="00880A79"/>
    <w:rsid w:val="00881D82"/>
    <w:rsid w:val="008855FC"/>
    <w:rsid w:val="00886580"/>
    <w:rsid w:val="008865E0"/>
    <w:rsid w:val="00892FC8"/>
    <w:rsid w:val="00894688"/>
    <w:rsid w:val="00894964"/>
    <w:rsid w:val="00894C9D"/>
    <w:rsid w:val="0089639F"/>
    <w:rsid w:val="0089776A"/>
    <w:rsid w:val="008A0B1E"/>
    <w:rsid w:val="008A2F0B"/>
    <w:rsid w:val="008A2F3C"/>
    <w:rsid w:val="008A3FA1"/>
    <w:rsid w:val="008A6DF1"/>
    <w:rsid w:val="008B0A16"/>
    <w:rsid w:val="008B2CD9"/>
    <w:rsid w:val="008B34F6"/>
    <w:rsid w:val="008B545A"/>
    <w:rsid w:val="008B5FCB"/>
    <w:rsid w:val="008B6B81"/>
    <w:rsid w:val="008B7BE0"/>
    <w:rsid w:val="008C0CEB"/>
    <w:rsid w:val="008C1718"/>
    <w:rsid w:val="008C1AD0"/>
    <w:rsid w:val="008C5A34"/>
    <w:rsid w:val="008C60E5"/>
    <w:rsid w:val="008C6316"/>
    <w:rsid w:val="008D0A19"/>
    <w:rsid w:val="008D133B"/>
    <w:rsid w:val="008D20F9"/>
    <w:rsid w:val="008D2A62"/>
    <w:rsid w:val="008D4CDF"/>
    <w:rsid w:val="008D72D7"/>
    <w:rsid w:val="008E0943"/>
    <w:rsid w:val="008E2EBA"/>
    <w:rsid w:val="008E42B4"/>
    <w:rsid w:val="008E5AD9"/>
    <w:rsid w:val="008E7E8D"/>
    <w:rsid w:val="008F2C05"/>
    <w:rsid w:val="008F66DD"/>
    <w:rsid w:val="008F6899"/>
    <w:rsid w:val="008F721A"/>
    <w:rsid w:val="008F760A"/>
    <w:rsid w:val="00900F7A"/>
    <w:rsid w:val="009012BB"/>
    <w:rsid w:val="009027F6"/>
    <w:rsid w:val="00903267"/>
    <w:rsid w:val="00904244"/>
    <w:rsid w:val="009075DE"/>
    <w:rsid w:val="009101AB"/>
    <w:rsid w:val="00910576"/>
    <w:rsid w:val="00911F87"/>
    <w:rsid w:val="00912F1D"/>
    <w:rsid w:val="009130ED"/>
    <w:rsid w:val="00913156"/>
    <w:rsid w:val="009131A9"/>
    <w:rsid w:val="0091352C"/>
    <w:rsid w:val="009135BD"/>
    <w:rsid w:val="0091526E"/>
    <w:rsid w:val="009154C4"/>
    <w:rsid w:val="00916424"/>
    <w:rsid w:val="00916E61"/>
    <w:rsid w:val="00917899"/>
    <w:rsid w:val="00922C48"/>
    <w:rsid w:val="0092389C"/>
    <w:rsid w:val="00924AFD"/>
    <w:rsid w:val="009271F7"/>
    <w:rsid w:val="00930053"/>
    <w:rsid w:val="0093230B"/>
    <w:rsid w:val="00934B16"/>
    <w:rsid w:val="00936100"/>
    <w:rsid w:val="00936D72"/>
    <w:rsid w:val="0093716E"/>
    <w:rsid w:val="009379A0"/>
    <w:rsid w:val="009407C4"/>
    <w:rsid w:val="00940A8B"/>
    <w:rsid w:val="00940FFE"/>
    <w:rsid w:val="0094123F"/>
    <w:rsid w:val="00941963"/>
    <w:rsid w:val="00942338"/>
    <w:rsid w:val="0094348A"/>
    <w:rsid w:val="00943723"/>
    <w:rsid w:val="00943E56"/>
    <w:rsid w:val="00944043"/>
    <w:rsid w:val="0094440C"/>
    <w:rsid w:val="00945AB7"/>
    <w:rsid w:val="00947B48"/>
    <w:rsid w:val="00950722"/>
    <w:rsid w:val="009515D5"/>
    <w:rsid w:val="00951E3F"/>
    <w:rsid w:val="00952DAB"/>
    <w:rsid w:val="009539ED"/>
    <w:rsid w:val="009547E8"/>
    <w:rsid w:val="00955124"/>
    <w:rsid w:val="00955C28"/>
    <w:rsid w:val="009607A3"/>
    <w:rsid w:val="00960D22"/>
    <w:rsid w:val="00963290"/>
    <w:rsid w:val="00965497"/>
    <w:rsid w:val="00965B38"/>
    <w:rsid w:val="00966182"/>
    <w:rsid w:val="00966782"/>
    <w:rsid w:val="00966B2E"/>
    <w:rsid w:val="0097040F"/>
    <w:rsid w:val="00971D6E"/>
    <w:rsid w:val="00972F5A"/>
    <w:rsid w:val="00974CA2"/>
    <w:rsid w:val="00975F94"/>
    <w:rsid w:val="0098284D"/>
    <w:rsid w:val="009840E2"/>
    <w:rsid w:val="00987F90"/>
    <w:rsid w:val="00990DBC"/>
    <w:rsid w:val="00992BBF"/>
    <w:rsid w:val="0099583C"/>
    <w:rsid w:val="00995C37"/>
    <w:rsid w:val="00995C8A"/>
    <w:rsid w:val="0099692F"/>
    <w:rsid w:val="009A037D"/>
    <w:rsid w:val="009A1FF6"/>
    <w:rsid w:val="009A2411"/>
    <w:rsid w:val="009A2750"/>
    <w:rsid w:val="009A2BB5"/>
    <w:rsid w:val="009A3ABD"/>
    <w:rsid w:val="009A3B69"/>
    <w:rsid w:val="009B023F"/>
    <w:rsid w:val="009B0CE3"/>
    <w:rsid w:val="009B1096"/>
    <w:rsid w:val="009B1E5E"/>
    <w:rsid w:val="009B2149"/>
    <w:rsid w:val="009B48A1"/>
    <w:rsid w:val="009B5499"/>
    <w:rsid w:val="009C2836"/>
    <w:rsid w:val="009C2D84"/>
    <w:rsid w:val="009C511C"/>
    <w:rsid w:val="009C5E71"/>
    <w:rsid w:val="009C5EC4"/>
    <w:rsid w:val="009C6465"/>
    <w:rsid w:val="009C732E"/>
    <w:rsid w:val="009D0068"/>
    <w:rsid w:val="009D0106"/>
    <w:rsid w:val="009D0357"/>
    <w:rsid w:val="009D18E0"/>
    <w:rsid w:val="009D1AC9"/>
    <w:rsid w:val="009D5867"/>
    <w:rsid w:val="009D6666"/>
    <w:rsid w:val="009D6D01"/>
    <w:rsid w:val="009D6F1B"/>
    <w:rsid w:val="009E09F6"/>
    <w:rsid w:val="009E31E3"/>
    <w:rsid w:val="009E4483"/>
    <w:rsid w:val="009E5176"/>
    <w:rsid w:val="009E5220"/>
    <w:rsid w:val="009E54FB"/>
    <w:rsid w:val="009E5CD1"/>
    <w:rsid w:val="009E6B2F"/>
    <w:rsid w:val="009F03F1"/>
    <w:rsid w:val="009F3578"/>
    <w:rsid w:val="009F52B5"/>
    <w:rsid w:val="009F6236"/>
    <w:rsid w:val="009F6383"/>
    <w:rsid w:val="009F7215"/>
    <w:rsid w:val="009F7662"/>
    <w:rsid w:val="009F7835"/>
    <w:rsid w:val="00A00581"/>
    <w:rsid w:val="00A015B9"/>
    <w:rsid w:val="00A022B0"/>
    <w:rsid w:val="00A040BB"/>
    <w:rsid w:val="00A04A68"/>
    <w:rsid w:val="00A04F65"/>
    <w:rsid w:val="00A07309"/>
    <w:rsid w:val="00A076BC"/>
    <w:rsid w:val="00A07E4B"/>
    <w:rsid w:val="00A10B7E"/>
    <w:rsid w:val="00A15369"/>
    <w:rsid w:val="00A15744"/>
    <w:rsid w:val="00A15F13"/>
    <w:rsid w:val="00A16F33"/>
    <w:rsid w:val="00A173B8"/>
    <w:rsid w:val="00A20B26"/>
    <w:rsid w:val="00A20D96"/>
    <w:rsid w:val="00A21A3E"/>
    <w:rsid w:val="00A24D02"/>
    <w:rsid w:val="00A2509D"/>
    <w:rsid w:val="00A25CD6"/>
    <w:rsid w:val="00A266FE"/>
    <w:rsid w:val="00A27F16"/>
    <w:rsid w:val="00A311B0"/>
    <w:rsid w:val="00A3197D"/>
    <w:rsid w:val="00A31B3A"/>
    <w:rsid w:val="00A31E0F"/>
    <w:rsid w:val="00A33827"/>
    <w:rsid w:val="00A34479"/>
    <w:rsid w:val="00A34486"/>
    <w:rsid w:val="00A344FC"/>
    <w:rsid w:val="00A350C0"/>
    <w:rsid w:val="00A35387"/>
    <w:rsid w:val="00A4212F"/>
    <w:rsid w:val="00A42357"/>
    <w:rsid w:val="00A43FF0"/>
    <w:rsid w:val="00A448C8"/>
    <w:rsid w:val="00A458D1"/>
    <w:rsid w:val="00A45E6C"/>
    <w:rsid w:val="00A463A3"/>
    <w:rsid w:val="00A46660"/>
    <w:rsid w:val="00A46CC4"/>
    <w:rsid w:val="00A47606"/>
    <w:rsid w:val="00A531FF"/>
    <w:rsid w:val="00A548A2"/>
    <w:rsid w:val="00A54F71"/>
    <w:rsid w:val="00A55034"/>
    <w:rsid w:val="00A55638"/>
    <w:rsid w:val="00A57C10"/>
    <w:rsid w:val="00A6015E"/>
    <w:rsid w:val="00A609DD"/>
    <w:rsid w:val="00A60A1B"/>
    <w:rsid w:val="00A626C2"/>
    <w:rsid w:val="00A62967"/>
    <w:rsid w:val="00A64845"/>
    <w:rsid w:val="00A67030"/>
    <w:rsid w:val="00A72DBE"/>
    <w:rsid w:val="00A75915"/>
    <w:rsid w:val="00A76F97"/>
    <w:rsid w:val="00A77E2B"/>
    <w:rsid w:val="00A83736"/>
    <w:rsid w:val="00A841DB"/>
    <w:rsid w:val="00A8454D"/>
    <w:rsid w:val="00A84CB2"/>
    <w:rsid w:val="00A87380"/>
    <w:rsid w:val="00A87783"/>
    <w:rsid w:val="00A87E9D"/>
    <w:rsid w:val="00A9025F"/>
    <w:rsid w:val="00A91483"/>
    <w:rsid w:val="00A93B04"/>
    <w:rsid w:val="00A97BB1"/>
    <w:rsid w:val="00AA0309"/>
    <w:rsid w:val="00AA07F6"/>
    <w:rsid w:val="00AA1075"/>
    <w:rsid w:val="00AA2324"/>
    <w:rsid w:val="00AA3A3A"/>
    <w:rsid w:val="00AA4215"/>
    <w:rsid w:val="00AA459D"/>
    <w:rsid w:val="00AA583C"/>
    <w:rsid w:val="00AA732B"/>
    <w:rsid w:val="00AA7BD2"/>
    <w:rsid w:val="00AB3F0E"/>
    <w:rsid w:val="00AB59E8"/>
    <w:rsid w:val="00AB621B"/>
    <w:rsid w:val="00AB6922"/>
    <w:rsid w:val="00AB6CB6"/>
    <w:rsid w:val="00AC0194"/>
    <w:rsid w:val="00AC06FB"/>
    <w:rsid w:val="00AC1215"/>
    <w:rsid w:val="00AC1260"/>
    <w:rsid w:val="00AC25ED"/>
    <w:rsid w:val="00AC3C11"/>
    <w:rsid w:val="00AC6118"/>
    <w:rsid w:val="00AC6741"/>
    <w:rsid w:val="00AC7139"/>
    <w:rsid w:val="00AC7A58"/>
    <w:rsid w:val="00AD18B7"/>
    <w:rsid w:val="00AD2517"/>
    <w:rsid w:val="00AD32AD"/>
    <w:rsid w:val="00AD368D"/>
    <w:rsid w:val="00AD4548"/>
    <w:rsid w:val="00AD6CCC"/>
    <w:rsid w:val="00AD71D3"/>
    <w:rsid w:val="00AD7392"/>
    <w:rsid w:val="00AD78EA"/>
    <w:rsid w:val="00AE44DA"/>
    <w:rsid w:val="00AE593D"/>
    <w:rsid w:val="00AE622B"/>
    <w:rsid w:val="00AE65B7"/>
    <w:rsid w:val="00AE6CE4"/>
    <w:rsid w:val="00AE6E74"/>
    <w:rsid w:val="00AF1114"/>
    <w:rsid w:val="00AF36ED"/>
    <w:rsid w:val="00AF3A1D"/>
    <w:rsid w:val="00AF3E47"/>
    <w:rsid w:val="00AF3EBE"/>
    <w:rsid w:val="00AF5F1E"/>
    <w:rsid w:val="00B02701"/>
    <w:rsid w:val="00B028A5"/>
    <w:rsid w:val="00B041D0"/>
    <w:rsid w:val="00B06575"/>
    <w:rsid w:val="00B069A1"/>
    <w:rsid w:val="00B12126"/>
    <w:rsid w:val="00B12F25"/>
    <w:rsid w:val="00B1427B"/>
    <w:rsid w:val="00B142F2"/>
    <w:rsid w:val="00B15629"/>
    <w:rsid w:val="00B16CF8"/>
    <w:rsid w:val="00B208B0"/>
    <w:rsid w:val="00B209BE"/>
    <w:rsid w:val="00B23273"/>
    <w:rsid w:val="00B23C30"/>
    <w:rsid w:val="00B25590"/>
    <w:rsid w:val="00B26B13"/>
    <w:rsid w:val="00B2704A"/>
    <w:rsid w:val="00B305F6"/>
    <w:rsid w:val="00B31399"/>
    <w:rsid w:val="00B326C8"/>
    <w:rsid w:val="00B3410D"/>
    <w:rsid w:val="00B342A7"/>
    <w:rsid w:val="00B35DC6"/>
    <w:rsid w:val="00B36DF1"/>
    <w:rsid w:val="00B40C78"/>
    <w:rsid w:val="00B4168E"/>
    <w:rsid w:val="00B419D9"/>
    <w:rsid w:val="00B426CE"/>
    <w:rsid w:val="00B432C6"/>
    <w:rsid w:val="00B456B2"/>
    <w:rsid w:val="00B459D9"/>
    <w:rsid w:val="00B473C7"/>
    <w:rsid w:val="00B47B6F"/>
    <w:rsid w:val="00B51451"/>
    <w:rsid w:val="00B51D9B"/>
    <w:rsid w:val="00B51F02"/>
    <w:rsid w:val="00B525DC"/>
    <w:rsid w:val="00B526E6"/>
    <w:rsid w:val="00B54298"/>
    <w:rsid w:val="00B54934"/>
    <w:rsid w:val="00B5509B"/>
    <w:rsid w:val="00B561B9"/>
    <w:rsid w:val="00B612BE"/>
    <w:rsid w:val="00B6296F"/>
    <w:rsid w:val="00B727C3"/>
    <w:rsid w:val="00B739E8"/>
    <w:rsid w:val="00B747AE"/>
    <w:rsid w:val="00B754D9"/>
    <w:rsid w:val="00B774F8"/>
    <w:rsid w:val="00B813DF"/>
    <w:rsid w:val="00B81AB4"/>
    <w:rsid w:val="00B8308F"/>
    <w:rsid w:val="00B840B2"/>
    <w:rsid w:val="00B850C4"/>
    <w:rsid w:val="00B87567"/>
    <w:rsid w:val="00B911B7"/>
    <w:rsid w:val="00B918BC"/>
    <w:rsid w:val="00B92322"/>
    <w:rsid w:val="00B923DB"/>
    <w:rsid w:val="00B96E99"/>
    <w:rsid w:val="00B97BB4"/>
    <w:rsid w:val="00BA09A3"/>
    <w:rsid w:val="00BA0D6D"/>
    <w:rsid w:val="00BA339B"/>
    <w:rsid w:val="00BB08E4"/>
    <w:rsid w:val="00BB1741"/>
    <w:rsid w:val="00BB2D03"/>
    <w:rsid w:val="00BB374C"/>
    <w:rsid w:val="00BB37BA"/>
    <w:rsid w:val="00BB5F1D"/>
    <w:rsid w:val="00BB6AEF"/>
    <w:rsid w:val="00BB7AF0"/>
    <w:rsid w:val="00BC06C5"/>
    <w:rsid w:val="00BC36AC"/>
    <w:rsid w:val="00BC3B00"/>
    <w:rsid w:val="00BC403F"/>
    <w:rsid w:val="00BD53D4"/>
    <w:rsid w:val="00BD57B1"/>
    <w:rsid w:val="00BD5F70"/>
    <w:rsid w:val="00BD6168"/>
    <w:rsid w:val="00BD71CD"/>
    <w:rsid w:val="00BD770E"/>
    <w:rsid w:val="00BE058B"/>
    <w:rsid w:val="00BE251E"/>
    <w:rsid w:val="00BE2A5A"/>
    <w:rsid w:val="00BE2EBD"/>
    <w:rsid w:val="00BE32C5"/>
    <w:rsid w:val="00BE3C10"/>
    <w:rsid w:val="00BE46AF"/>
    <w:rsid w:val="00BE5F5A"/>
    <w:rsid w:val="00BF1334"/>
    <w:rsid w:val="00BF1D5D"/>
    <w:rsid w:val="00BF2850"/>
    <w:rsid w:val="00BF3279"/>
    <w:rsid w:val="00BF45EB"/>
    <w:rsid w:val="00BF4F5F"/>
    <w:rsid w:val="00C01E26"/>
    <w:rsid w:val="00C02BA4"/>
    <w:rsid w:val="00C03B12"/>
    <w:rsid w:val="00C05A9C"/>
    <w:rsid w:val="00C0705C"/>
    <w:rsid w:val="00C075DF"/>
    <w:rsid w:val="00C10A65"/>
    <w:rsid w:val="00C17BA4"/>
    <w:rsid w:val="00C21ED2"/>
    <w:rsid w:val="00C22F25"/>
    <w:rsid w:val="00C24296"/>
    <w:rsid w:val="00C246DA"/>
    <w:rsid w:val="00C26478"/>
    <w:rsid w:val="00C328AB"/>
    <w:rsid w:val="00C32B4D"/>
    <w:rsid w:val="00C33038"/>
    <w:rsid w:val="00C35156"/>
    <w:rsid w:val="00C3711D"/>
    <w:rsid w:val="00C41C9D"/>
    <w:rsid w:val="00C441DA"/>
    <w:rsid w:val="00C459FB"/>
    <w:rsid w:val="00C47E98"/>
    <w:rsid w:val="00C47F54"/>
    <w:rsid w:val="00C505F1"/>
    <w:rsid w:val="00C5104C"/>
    <w:rsid w:val="00C515D7"/>
    <w:rsid w:val="00C5203B"/>
    <w:rsid w:val="00C5331E"/>
    <w:rsid w:val="00C61C83"/>
    <w:rsid w:val="00C62AE3"/>
    <w:rsid w:val="00C64AB4"/>
    <w:rsid w:val="00C652C1"/>
    <w:rsid w:val="00C65779"/>
    <w:rsid w:val="00C66ABC"/>
    <w:rsid w:val="00C67899"/>
    <w:rsid w:val="00C70D67"/>
    <w:rsid w:val="00C72757"/>
    <w:rsid w:val="00C72C62"/>
    <w:rsid w:val="00C7395D"/>
    <w:rsid w:val="00C756C8"/>
    <w:rsid w:val="00C75A48"/>
    <w:rsid w:val="00C7694E"/>
    <w:rsid w:val="00C772D5"/>
    <w:rsid w:val="00C8029A"/>
    <w:rsid w:val="00C81B60"/>
    <w:rsid w:val="00C82D79"/>
    <w:rsid w:val="00C842D6"/>
    <w:rsid w:val="00C84753"/>
    <w:rsid w:val="00C851ED"/>
    <w:rsid w:val="00C85200"/>
    <w:rsid w:val="00C86182"/>
    <w:rsid w:val="00C8789F"/>
    <w:rsid w:val="00C910D4"/>
    <w:rsid w:val="00C92E29"/>
    <w:rsid w:val="00C93B0C"/>
    <w:rsid w:val="00C941EA"/>
    <w:rsid w:val="00C97A51"/>
    <w:rsid w:val="00C97D2D"/>
    <w:rsid w:val="00CA2263"/>
    <w:rsid w:val="00CA2E48"/>
    <w:rsid w:val="00CA3D01"/>
    <w:rsid w:val="00CA4593"/>
    <w:rsid w:val="00CA4E62"/>
    <w:rsid w:val="00CA7079"/>
    <w:rsid w:val="00CB1E76"/>
    <w:rsid w:val="00CB26CE"/>
    <w:rsid w:val="00CB5B86"/>
    <w:rsid w:val="00CB7E2D"/>
    <w:rsid w:val="00CC1033"/>
    <w:rsid w:val="00CC1C2D"/>
    <w:rsid w:val="00CC33FB"/>
    <w:rsid w:val="00CC38CB"/>
    <w:rsid w:val="00CC606A"/>
    <w:rsid w:val="00CC7D5F"/>
    <w:rsid w:val="00CD0DFD"/>
    <w:rsid w:val="00CD0E1E"/>
    <w:rsid w:val="00CD0EA5"/>
    <w:rsid w:val="00CD152C"/>
    <w:rsid w:val="00CD2519"/>
    <w:rsid w:val="00CD6633"/>
    <w:rsid w:val="00CD690B"/>
    <w:rsid w:val="00CE10AC"/>
    <w:rsid w:val="00CE21B5"/>
    <w:rsid w:val="00CE2D0C"/>
    <w:rsid w:val="00CE4C0C"/>
    <w:rsid w:val="00CE602E"/>
    <w:rsid w:val="00CE7E3D"/>
    <w:rsid w:val="00CF0968"/>
    <w:rsid w:val="00CF1247"/>
    <w:rsid w:val="00CF21E3"/>
    <w:rsid w:val="00CF2874"/>
    <w:rsid w:val="00CF3D32"/>
    <w:rsid w:val="00CF4DA5"/>
    <w:rsid w:val="00CF5D3B"/>
    <w:rsid w:val="00CF650D"/>
    <w:rsid w:val="00D00DBD"/>
    <w:rsid w:val="00D03123"/>
    <w:rsid w:val="00D03755"/>
    <w:rsid w:val="00D06956"/>
    <w:rsid w:val="00D10AB5"/>
    <w:rsid w:val="00D125AF"/>
    <w:rsid w:val="00D16E60"/>
    <w:rsid w:val="00D21C81"/>
    <w:rsid w:val="00D24B6D"/>
    <w:rsid w:val="00D24E96"/>
    <w:rsid w:val="00D2531F"/>
    <w:rsid w:val="00D2633E"/>
    <w:rsid w:val="00D2661A"/>
    <w:rsid w:val="00D27B50"/>
    <w:rsid w:val="00D307A6"/>
    <w:rsid w:val="00D31617"/>
    <w:rsid w:val="00D32F05"/>
    <w:rsid w:val="00D339B0"/>
    <w:rsid w:val="00D33EC3"/>
    <w:rsid w:val="00D3431F"/>
    <w:rsid w:val="00D36C88"/>
    <w:rsid w:val="00D37D2C"/>
    <w:rsid w:val="00D41E5D"/>
    <w:rsid w:val="00D4269E"/>
    <w:rsid w:val="00D42B8C"/>
    <w:rsid w:val="00D42FCF"/>
    <w:rsid w:val="00D430E9"/>
    <w:rsid w:val="00D439B0"/>
    <w:rsid w:val="00D457A1"/>
    <w:rsid w:val="00D46274"/>
    <w:rsid w:val="00D47EC2"/>
    <w:rsid w:val="00D500A3"/>
    <w:rsid w:val="00D53A82"/>
    <w:rsid w:val="00D53F62"/>
    <w:rsid w:val="00D565E0"/>
    <w:rsid w:val="00D61EFB"/>
    <w:rsid w:val="00D63870"/>
    <w:rsid w:val="00D643D0"/>
    <w:rsid w:val="00D66834"/>
    <w:rsid w:val="00D704C1"/>
    <w:rsid w:val="00D73340"/>
    <w:rsid w:val="00D73A23"/>
    <w:rsid w:val="00D7632F"/>
    <w:rsid w:val="00D80635"/>
    <w:rsid w:val="00D83908"/>
    <w:rsid w:val="00D83AE7"/>
    <w:rsid w:val="00D842DA"/>
    <w:rsid w:val="00D85047"/>
    <w:rsid w:val="00D85DB1"/>
    <w:rsid w:val="00D873C6"/>
    <w:rsid w:val="00D87E2C"/>
    <w:rsid w:val="00D91923"/>
    <w:rsid w:val="00D9273B"/>
    <w:rsid w:val="00D97128"/>
    <w:rsid w:val="00DA01DD"/>
    <w:rsid w:val="00DA12A8"/>
    <w:rsid w:val="00DA1DBD"/>
    <w:rsid w:val="00DA390D"/>
    <w:rsid w:val="00DA3CE6"/>
    <w:rsid w:val="00DA5056"/>
    <w:rsid w:val="00DA51E4"/>
    <w:rsid w:val="00DA5450"/>
    <w:rsid w:val="00DA608F"/>
    <w:rsid w:val="00DA728C"/>
    <w:rsid w:val="00DB1746"/>
    <w:rsid w:val="00DB1956"/>
    <w:rsid w:val="00DB1DE1"/>
    <w:rsid w:val="00DB20B1"/>
    <w:rsid w:val="00DB3C66"/>
    <w:rsid w:val="00DB44C9"/>
    <w:rsid w:val="00DB463C"/>
    <w:rsid w:val="00DB5DD3"/>
    <w:rsid w:val="00DB728A"/>
    <w:rsid w:val="00DB7847"/>
    <w:rsid w:val="00DC22A4"/>
    <w:rsid w:val="00DC2754"/>
    <w:rsid w:val="00DC33BD"/>
    <w:rsid w:val="00DC363D"/>
    <w:rsid w:val="00DC4147"/>
    <w:rsid w:val="00DC4D14"/>
    <w:rsid w:val="00DC7B69"/>
    <w:rsid w:val="00DD02EB"/>
    <w:rsid w:val="00DD03D0"/>
    <w:rsid w:val="00DD04ED"/>
    <w:rsid w:val="00DD1D9E"/>
    <w:rsid w:val="00DD3862"/>
    <w:rsid w:val="00DD5DD6"/>
    <w:rsid w:val="00DD71E3"/>
    <w:rsid w:val="00DE2045"/>
    <w:rsid w:val="00DE3596"/>
    <w:rsid w:val="00DF022E"/>
    <w:rsid w:val="00DF111C"/>
    <w:rsid w:val="00DF24DA"/>
    <w:rsid w:val="00DF3DC0"/>
    <w:rsid w:val="00DF3F05"/>
    <w:rsid w:val="00DF420D"/>
    <w:rsid w:val="00DF45E7"/>
    <w:rsid w:val="00DF61C0"/>
    <w:rsid w:val="00DF6498"/>
    <w:rsid w:val="00DF707B"/>
    <w:rsid w:val="00E0093D"/>
    <w:rsid w:val="00E00BDE"/>
    <w:rsid w:val="00E00EB2"/>
    <w:rsid w:val="00E019F1"/>
    <w:rsid w:val="00E022C4"/>
    <w:rsid w:val="00E03608"/>
    <w:rsid w:val="00E03DBD"/>
    <w:rsid w:val="00E04CDF"/>
    <w:rsid w:val="00E05BBB"/>
    <w:rsid w:val="00E05BC4"/>
    <w:rsid w:val="00E10DD7"/>
    <w:rsid w:val="00E115C2"/>
    <w:rsid w:val="00E13273"/>
    <w:rsid w:val="00E135DB"/>
    <w:rsid w:val="00E13731"/>
    <w:rsid w:val="00E151F2"/>
    <w:rsid w:val="00E15F33"/>
    <w:rsid w:val="00E169FE"/>
    <w:rsid w:val="00E16E37"/>
    <w:rsid w:val="00E17136"/>
    <w:rsid w:val="00E176C2"/>
    <w:rsid w:val="00E20FF5"/>
    <w:rsid w:val="00E2236E"/>
    <w:rsid w:val="00E240B6"/>
    <w:rsid w:val="00E2421E"/>
    <w:rsid w:val="00E24863"/>
    <w:rsid w:val="00E24F3A"/>
    <w:rsid w:val="00E30F5F"/>
    <w:rsid w:val="00E330E7"/>
    <w:rsid w:val="00E33768"/>
    <w:rsid w:val="00E35C65"/>
    <w:rsid w:val="00E37F76"/>
    <w:rsid w:val="00E40BCE"/>
    <w:rsid w:val="00E41E86"/>
    <w:rsid w:val="00E47AAC"/>
    <w:rsid w:val="00E47AC1"/>
    <w:rsid w:val="00E47F67"/>
    <w:rsid w:val="00E50323"/>
    <w:rsid w:val="00E52B82"/>
    <w:rsid w:val="00E536F3"/>
    <w:rsid w:val="00E53D2D"/>
    <w:rsid w:val="00E548C3"/>
    <w:rsid w:val="00E54A3D"/>
    <w:rsid w:val="00E57A1B"/>
    <w:rsid w:val="00E60B7B"/>
    <w:rsid w:val="00E60F57"/>
    <w:rsid w:val="00E6181F"/>
    <w:rsid w:val="00E61C49"/>
    <w:rsid w:val="00E624B1"/>
    <w:rsid w:val="00E6465F"/>
    <w:rsid w:val="00E65522"/>
    <w:rsid w:val="00E657F6"/>
    <w:rsid w:val="00E66E84"/>
    <w:rsid w:val="00E67FB9"/>
    <w:rsid w:val="00E71C1D"/>
    <w:rsid w:val="00E731B8"/>
    <w:rsid w:val="00E735A7"/>
    <w:rsid w:val="00E7387C"/>
    <w:rsid w:val="00E73F79"/>
    <w:rsid w:val="00E74221"/>
    <w:rsid w:val="00E7447C"/>
    <w:rsid w:val="00E754D1"/>
    <w:rsid w:val="00E75BBB"/>
    <w:rsid w:val="00E7625D"/>
    <w:rsid w:val="00E76CF8"/>
    <w:rsid w:val="00E8157A"/>
    <w:rsid w:val="00E81607"/>
    <w:rsid w:val="00E81B34"/>
    <w:rsid w:val="00E82DCC"/>
    <w:rsid w:val="00E83B5B"/>
    <w:rsid w:val="00E84651"/>
    <w:rsid w:val="00E851C5"/>
    <w:rsid w:val="00E85B50"/>
    <w:rsid w:val="00E87960"/>
    <w:rsid w:val="00E90F0D"/>
    <w:rsid w:val="00E91A89"/>
    <w:rsid w:val="00E92D3E"/>
    <w:rsid w:val="00E931AB"/>
    <w:rsid w:val="00E93F57"/>
    <w:rsid w:val="00E9495E"/>
    <w:rsid w:val="00E94E0C"/>
    <w:rsid w:val="00EA0CD4"/>
    <w:rsid w:val="00EA4D57"/>
    <w:rsid w:val="00EA5996"/>
    <w:rsid w:val="00EB0405"/>
    <w:rsid w:val="00EB10BB"/>
    <w:rsid w:val="00EB1CBD"/>
    <w:rsid w:val="00EB70E9"/>
    <w:rsid w:val="00EB73D7"/>
    <w:rsid w:val="00EB73F3"/>
    <w:rsid w:val="00EC16F2"/>
    <w:rsid w:val="00EC1740"/>
    <w:rsid w:val="00EC1F12"/>
    <w:rsid w:val="00EC3690"/>
    <w:rsid w:val="00EC39D9"/>
    <w:rsid w:val="00EC5B2C"/>
    <w:rsid w:val="00EC6758"/>
    <w:rsid w:val="00EC6DF9"/>
    <w:rsid w:val="00EC7F8B"/>
    <w:rsid w:val="00ED0C0C"/>
    <w:rsid w:val="00ED144E"/>
    <w:rsid w:val="00ED1689"/>
    <w:rsid w:val="00ED2819"/>
    <w:rsid w:val="00ED3D3C"/>
    <w:rsid w:val="00ED76AD"/>
    <w:rsid w:val="00ED77FF"/>
    <w:rsid w:val="00EE07C8"/>
    <w:rsid w:val="00EE1B1B"/>
    <w:rsid w:val="00EE4C08"/>
    <w:rsid w:val="00EE4E67"/>
    <w:rsid w:val="00EE4E6F"/>
    <w:rsid w:val="00EE687B"/>
    <w:rsid w:val="00EF013A"/>
    <w:rsid w:val="00EF111E"/>
    <w:rsid w:val="00EF162B"/>
    <w:rsid w:val="00EF168F"/>
    <w:rsid w:val="00EF3332"/>
    <w:rsid w:val="00EF431F"/>
    <w:rsid w:val="00EF6575"/>
    <w:rsid w:val="00EF7469"/>
    <w:rsid w:val="00F011D9"/>
    <w:rsid w:val="00F01674"/>
    <w:rsid w:val="00F04A63"/>
    <w:rsid w:val="00F04BB6"/>
    <w:rsid w:val="00F05119"/>
    <w:rsid w:val="00F05749"/>
    <w:rsid w:val="00F05AFC"/>
    <w:rsid w:val="00F06231"/>
    <w:rsid w:val="00F06C24"/>
    <w:rsid w:val="00F0737C"/>
    <w:rsid w:val="00F075D0"/>
    <w:rsid w:val="00F07ABA"/>
    <w:rsid w:val="00F10B7E"/>
    <w:rsid w:val="00F11744"/>
    <w:rsid w:val="00F12536"/>
    <w:rsid w:val="00F128D8"/>
    <w:rsid w:val="00F131DB"/>
    <w:rsid w:val="00F13958"/>
    <w:rsid w:val="00F158D3"/>
    <w:rsid w:val="00F1725B"/>
    <w:rsid w:val="00F1735B"/>
    <w:rsid w:val="00F200E0"/>
    <w:rsid w:val="00F22995"/>
    <w:rsid w:val="00F23FD7"/>
    <w:rsid w:val="00F32042"/>
    <w:rsid w:val="00F33E64"/>
    <w:rsid w:val="00F34D7F"/>
    <w:rsid w:val="00F350A3"/>
    <w:rsid w:val="00F3533E"/>
    <w:rsid w:val="00F356B2"/>
    <w:rsid w:val="00F35E6D"/>
    <w:rsid w:val="00F41605"/>
    <w:rsid w:val="00F452C4"/>
    <w:rsid w:val="00F463CD"/>
    <w:rsid w:val="00F46DB8"/>
    <w:rsid w:val="00F47374"/>
    <w:rsid w:val="00F47B20"/>
    <w:rsid w:val="00F47F77"/>
    <w:rsid w:val="00F50F1A"/>
    <w:rsid w:val="00F51942"/>
    <w:rsid w:val="00F5220E"/>
    <w:rsid w:val="00F5305F"/>
    <w:rsid w:val="00F53C92"/>
    <w:rsid w:val="00F54EC7"/>
    <w:rsid w:val="00F55585"/>
    <w:rsid w:val="00F56455"/>
    <w:rsid w:val="00F56E9C"/>
    <w:rsid w:val="00F60A00"/>
    <w:rsid w:val="00F60CC5"/>
    <w:rsid w:val="00F62A7F"/>
    <w:rsid w:val="00F64E8B"/>
    <w:rsid w:val="00F6747C"/>
    <w:rsid w:val="00F71D6D"/>
    <w:rsid w:val="00F73196"/>
    <w:rsid w:val="00F73274"/>
    <w:rsid w:val="00F737C2"/>
    <w:rsid w:val="00F746EC"/>
    <w:rsid w:val="00F761CD"/>
    <w:rsid w:val="00F764B2"/>
    <w:rsid w:val="00F767B3"/>
    <w:rsid w:val="00F773C2"/>
    <w:rsid w:val="00F779E5"/>
    <w:rsid w:val="00F8140F"/>
    <w:rsid w:val="00F822CE"/>
    <w:rsid w:val="00F84766"/>
    <w:rsid w:val="00F851D8"/>
    <w:rsid w:val="00F85369"/>
    <w:rsid w:val="00F864E0"/>
    <w:rsid w:val="00F87F3D"/>
    <w:rsid w:val="00F90B23"/>
    <w:rsid w:val="00F91344"/>
    <w:rsid w:val="00F91B6E"/>
    <w:rsid w:val="00F93DB0"/>
    <w:rsid w:val="00F9428E"/>
    <w:rsid w:val="00F9509E"/>
    <w:rsid w:val="00F950F3"/>
    <w:rsid w:val="00F96296"/>
    <w:rsid w:val="00F962C4"/>
    <w:rsid w:val="00F97585"/>
    <w:rsid w:val="00FA2B4F"/>
    <w:rsid w:val="00FA5DAD"/>
    <w:rsid w:val="00FB04A6"/>
    <w:rsid w:val="00FB1371"/>
    <w:rsid w:val="00FB3B18"/>
    <w:rsid w:val="00FB3C6F"/>
    <w:rsid w:val="00FB3C76"/>
    <w:rsid w:val="00FB4136"/>
    <w:rsid w:val="00FB41A7"/>
    <w:rsid w:val="00FB43FA"/>
    <w:rsid w:val="00FB4BCD"/>
    <w:rsid w:val="00FB5773"/>
    <w:rsid w:val="00FB6FE2"/>
    <w:rsid w:val="00FB7D2D"/>
    <w:rsid w:val="00FC0054"/>
    <w:rsid w:val="00FC08D3"/>
    <w:rsid w:val="00FC1F77"/>
    <w:rsid w:val="00FC2644"/>
    <w:rsid w:val="00FC2D91"/>
    <w:rsid w:val="00FC4B49"/>
    <w:rsid w:val="00FC60B1"/>
    <w:rsid w:val="00FC6F0E"/>
    <w:rsid w:val="00FD1FC1"/>
    <w:rsid w:val="00FD3C4B"/>
    <w:rsid w:val="00FD5AA6"/>
    <w:rsid w:val="00FE00C5"/>
    <w:rsid w:val="00FE05C6"/>
    <w:rsid w:val="00FE0F40"/>
    <w:rsid w:val="00FE0F49"/>
    <w:rsid w:val="00FE211C"/>
    <w:rsid w:val="00FE6B76"/>
    <w:rsid w:val="00FE7C37"/>
    <w:rsid w:val="00FF3980"/>
    <w:rsid w:val="00FF4732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08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50B6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A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0B6D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350B6D"/>
  </w:style>
  <w:style w:type="paragraph" w:styleId="Header">
    <w:name w:val="header"/>
    <w:basedOn w:val="Normal"/>
    <w:rsid w:val="00350B6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350B6D"/>
    <w:rPr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350B6D"/>
    <w:rPr>
      <w:vertAlign w:val="superscript"/>
    </w:rPr>
  </w:style>
  <w:style w:type="character" w:styleId="Hyperlink">
    <w:name w:val="Hyperlink"/>
    <w:rsid w:val="00350B6D"/>
    <w:rPr>
      <w:color w:val="0000FF"/>
      <w:u w:val="single"/>
    </w:rPr>
  </w:style>
  <w:style w:type="paragraph" w:styleId="BodyText">
    <w:name w:val="Body Text"/>
    <w:basedOn w:val="Normal"/>
    <w:rsid w:val="00350B6D"/>
    <w:rPr>
      <w:b/>
      <w:bCs/>
      <w:lang w:val="ro-RO"/>
    </w:rPr>
  </w:style>
  <w:style w:type="paragraph" w:customStyle="1" w:styleId="ColorfulList-Accent11">
    <w:name w:val="Colorful List - Accent 11"/>
    <w:basedOn w:val="Normal"/>
    <w:qFormat/>
    <w:rsid w:val="00F564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link w:val="FootnoteText"/>
    <w:uiPriority w:val="99"/>
    <w:rsid w:val="00F56455"/>
    <w:rPr>
      <w:lang w:val="ro-RO" w:eastAsia="en-US" w:bidi="ar-SA"/>
    </w:rPr>
  </w:style>
  <w:style w:type="character" w:customStyle="1" w:styleId="ln2talineat">
    <w:name w:val="ln2talineat"/>
    <w:basedOn w:val="DefaultParagraphFont"/>
    <w:rsid w:val="00350B6D"/>
  </w:style>
  <w:style w:type="character" w:customStyle="1" w:styleId="ln2articol1">
    <w:name w:val="ln2articol1"/>
    <w:rsid w:val="00350B6D"/>
    <w:rPr>
      <w:b/>
      <w:bCs/>
      <w:color w:val="0000AF"/>
    </w:rPr>
  </w:style>
  <w:style w:type="character" w:customStyle="1" w:styleId="ln2alineat1">
    <w:name w:val="ln2alineat1"/>
    <w:rsid w:val="00350B6D"/>
    <w:rPr>
      <w:b/>
      <w:bCs/>
      <w:color w:val="74929F"/>
    </w:rPr>
  </w:style>
  <w:style w:type="character" w:customStyle="1" w:styleId="ln2litera1">
    <w:name w:val="ln2litera1"/>
    <w:rsid w:val="00350B6D"/>
    <w:rPr>
      <w:b/>
      <w:bCs/>
      <w:color w:val="00008F"/>
    </w:rPr>
  </w:style>
  <w:style w:type="character" w:customStyle="1" w:styleId="ln2tlitera">
    <w:name w:val="ln2tlitera"/>
    <w:basedOn w:val="DefaultParagraphFont"/>
    <w:rsid w:val="00350B6D"/>
  </w:style>
  <w:style w:type="table" w:styleId="TableList3">
    <w:name w:val="Table List 3"/>
    <w:basedOn w:val="TableNormal"/>
    <w:rsid w:val="00856A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acterCaracterCaracterCharCaracter">
    <w:name w:val="Caracter Caracter Caracter Char Caracter"/>
    <w:basedOn w:val="Normal"/>
    <w:rsid w:val="00812013"/>
    <w:rPr>
      <w:lang w:val="pl-PL" w:eastAsia="pl-PL"/>
    </w:rPr>
  </w:style>
  <w:style w:type="table" w:styleId="TableGrid">
    <w:name w:val="Table Grid"/>
    <w:basedOn w:val="TableNormal"/>
    <w:rsid w:val="00C5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rsid w:val="00F851D8"/>
    <w:rPr>
      <w:lang w:eastAsia="en-US"/>
    </w:rPr>
  </w:style>
  <w:style w:type="paragraph" w:customStyle="1" w:styleId="Default">
    <w:name w:val="Default"/>
    <w:rsid w:val="00E6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rsid w:val="00F46DB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F46DB8"/>
    <w:rPr>
      <w:rFonts w:ascii="Consolas" w:eastAsia="Calibri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link w:val="BalloonTextChar"/>
    <w:rsid w:val="00F051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05119"/>
    <w:rPr>
      <w:rFonts w:ascii="Tahoma" w:hAnsi="Tahoma" w:cs="Tahoma"/>
      <w:sz w:val="16"/>
      <w:szCs w:val="16"/>
      <w:lang w:val="en-US" w:eastAsia="en-US"/>
    </w:rPr>
  </w:style>
  <w:style w:type="paragraph" w:customStyle="1" w:styleId="Style">
    <w:name w:val="Style"/>
    <w:basedOn w:val="Normal"/>
    <w:rsid w:val="00F41605"/>
    <w:rPr>
      <w:lang w:val="pl-PL" w:eastAsia="pl-PL"/>
    </w:rPr>
  </w:style>
  <w:style w:type="table" w:customStyle="1" w:styleId="MediumList1-Accent11">
    <w:name w:val="Medium List 1 - Accent 11"/>
    <w:basedOn w:val="TableNormal"/>
    <w:uiPriority w:val="70"/>
    <w:rsid w:val="009539E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7F6B37"/>
    <w:pPr>
      <w:ind w:left="720"/>
      <w:contextualSpacing/>
    </w:pPr>
  </w:style>
  <w:style w:type="character" w:styleId="CommentReference">
    <w:name w:val="annotation reference"/>
    <w:basedOn w:val="DefaultParagraphFont"/>
    <w:rsid w:val="007F6B37"/>
    <w:rPr>
      <w:sz w:val="18"/>
      <w:szCs w:val="18"/>
    </w:rPr>
  </w:style>
  <w:style w:type="paragraph" w:styleId="CommentText">
    <w:name w:val="annotation text"/>
    <w:basedOn w:val="Normal"/>
    <w:link w:val="CommentTextChar"/>
    <w:rsid w:val="007F6B37"/>
  </w:style>
  <w:style w:type="character" w:customStyle="1" w:styleId="CommentTextChar">
    <w:name w:val="Comment Text Char"/>
    <w:basedOn w:val="DefaultParagraphFont"/>
    <w:link w:val="CommentText"/>
    <w:rsid w:val="007F6B3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6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F6B37"/>
    <w:rPr>
      <w:b/>
      <w:bCs/>
      <w:sz w:val="24"/>
      <w:szCs w:val="24"/>
      <w:lang w:val="en-US" w:eastAsia="en-US"/>
    </w:rPr>
  </w:style>
  <w:style w:type="character" w:customStyle="1" w:styleId="hps">
    <w:name w:val="hps"/>
    <w:rsid w:val="002702F4"/>
  </w:style>
  <w:style w:type="paragraph" w:styleId="NoSpacing">
    <w:name w:val="No Spacing"/>
    <w:uiPriority w:val="1"/>
    <w:qFormat/>
    <w:rsid w:val="002702F4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2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table" w:customStyle="1" w:styleId="LightList-Accent11">
    <w:name w:val="Light List - Accent 11"/>
    <w:basedOn w:val="TableNormal"/>
    <w:uiPriority w:val="61"/>
    <w:rsid w:val="000A2AF0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0A2AF0"/>
  </w:style>
  <w:style w:type="character" w:styleId="Emphasis">
    <w:name w:val="Emphasis"/>
    <w:basedOn w:val="DefaultParagraphFont"/>
    <w:uiPriority w:val="20"/>
    <w:qFormat/>
    <w:rsid w:val="000A2AF0"/>
    <w:rPr>
      <w:i/>
      <w:iCs/>
    </w:rPr>
  </w:style>
  <w:style w:type="character" w:styleId="Strong">
    <w:name w:val="Strong"/>
    <w:basedOn w:val="DefaultParagraphFont"/>
    <w:uiPriority w:val="22"/>
    <w:qFormat/>
    <w:rsid w:val="000A2AF0"/>
    <w:rPr>
      <w:b/>
      <w:bCs/>
    </w:rPr>
  </w:style>
  <w:style w:type="character" w:customStyle="1" w:styleId="textexposedshow">
    <w:name w:val="text_exposed_show"/>
    <w:basedOn w:val="DefaultParagraphFont"/>
    <w:rsid w:val="009012BB"/>
  </w:style>
  <w:style w:type="character" w:customStyle="1" w:styleId="usercontent">
    <w:name w:val="usercontent"/>
    <w:basedOn w:val="DefaultParagraphFont"/>
    <w:rsid w:val="00CC6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50B6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A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0B6D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350B6D"/>
  </w:style>
  <w:style w:type="paragraph" w:styleId="Header">
    <w:name w:val="header"/>
    <w:basedOn w:val="Normal"/>
    <w:rsid w:val="00350B6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350B6D"/>
    <w:rPr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350B6D"/>
    <w:rPr>
      <w:vertAlign w:val="superscript"/>
    </w:rPr>
  </w:style>
  <w:style w:type="character" w:styleId="Hyperlink">
    <w:name w:val="Hyperlink"/>
    <w:rsid w:val="00350B6D"/>
    <w:rPr>
      <w:color w:val="0000FF"/>
      <w:u w:val="single"/>
    </w:rPr>
  </w:style>
  <w:style w:type="paragraph" w:styleId="BodyText">
    <w:name w:val="Body Text"/>
    <w:basedOn w:val="Normal"/>
    <w:rsid w:val="00350B6D"/>
    <w:rPr>
      <w:b/>
      <w:bCs/>
      <w:lang w:val="ro-RO"/>
    </w:rPr>
  </w:style>
  <w:style w:type="paragraph" w:customStyle="1" w:styleId="ColorfulList-Accent11">
    <w:name w:val="Colorful List - Accent 11"/>
    <w:basedOn w:val="Normal"/>
    <w:qFormat/>
    <w:rsid w:val="00F564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link w:val="FootnoteText"/>
    <w:uiPriority w:val="99"/>
    <w:rsid w:val="00F56455"/>
    <w:rPr>
      <w:lang w:val="ro-RO" w:eastAsia="en-US" w:bidi="ar-SA"/>
    </w:rPr>
  </w:style>
  <w:style w:type="character" w:customStyle="1" w:styleId="ln2talineat">
    <w:name w:val="ln2talineat"/>
    <w:basedOn w:val="DefaultParagraphFont"/>
    <w:rsid w:val="00350B6D"/>
  </w:style>
  <w:style w:type="character" w:customStyle="1" w:styleId="ln2articol1">
    <w:name w:val="ln2articol1"/>
    <w:rsid w:val="00350B6D"/>
    <w:rPr>
      <w:b/>
      <w:bCs/>
      <w:color w:val="0000AF"/>
    </w:rPr>
  </w:style>
  <w:style w:type="character" w:customStyle="1" w:styleId="ln2alineat1">
    <w:name w:val="ln2alineat1"/>
    <w:rsid w:val="00350B6D"/>
    <w:rPr>
      <w:b/>
      <w:bCs/>
      <w:color w:val="74929F"/>
    </w:rPr>
  </w:style>
  <w:style w:type="character" w:customStyle="1" w:styleId="ln2litera1">
    <w:name w:val="ln2litera1"/>
    <w:rsid w:val="00350B6D"/>
    <w:rPr>
      <w:b/>
      <w:bCs/>
      <w:color w:val="00008F"/>
    </w:rPr>
  </w:style>
  <w:style w:type="character" w:customStyle="1" w:styleId="ln2tlitera">
    <w:name w:val="ln2tlitera"/>
    <w:basedOn w:val="DefaultParagraphFont"/>
    <w:rsid w:val="00350B6D"/>
  </w:style>
  <w:style w:type="table" w:styleId="TableList3">
    <w:name w:val="Table List 3"/>
    <w:basedOn w:val="TableNormal"/>
    <w:rsid w:val="00856A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acterCaracterCaracterCharCaracter">
    <w:name w:val="Caracter Caracter Caracter Char Caracter"/>
    <w:basedOn w:val="Normal"/>
    <w:rsid w:val="00812013"/>
    <w:rPr>
      <w:lang w:val="pl-PL" w:eastAsia="pl-PL"/>
    </w:rPr>
  </w:style>
  <w:style w:type="table" w:styleId="TableGrid">
    <w:name w:val="Table Grid"/>
    <w:basedOn w:val="TableNormal"/>
    <w:rsid w:val="00C5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rsid w:val="00F851D8"/>
    <w:rPr>
      <w:lang w:eastAsia="en-US"/>
    </w:rPr>
  </w:style>
  <w:style w:type="paragraph" w:customStyle="1" w:styleId="Default">
    <w:name w:val="Default"/>
    <w:rsid w:val="00E6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rsid w:val="00F46DB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F46DB8"/>
    <w:rPr>
      <w:rFonts w:ascii="Consolas" w:eastAsia="Calibri" w:hAnsi="Consolas"/>
      <w:sz w:val="21"/>
      <w:szCs w:val="21"/>
      <w:lang w:val="en-US" w:eastAsia="en-US" w:bidi="ar-SA"/>
    </w:rPr>
  </w:style>
  <w:style w:type="paragraph" w:styleId="BalloonText">
    <w:name w:val="Balloon Text"/>
    <w:basedOn w:val="Normal"/>
    <w:link w:val="BalloonTextChar"/>
    <w:rsid w:val="00F051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05119"/>
    <w:rPr>
      <w:rFonts w:ascii="Tahoma" w:hAnsi="Tahoma" w:cs="Tahoma"/>
      <w:sz w:val="16"/>
      <w:szCs w:val="16"/>
      <w:lang w:val="en-US" w:eastAsia="en-US"/>
    </w:rPr>
  </w:style>
  <w:style w:type="paragraph" w:customStyle="1" w:styleId="Style">
    <w:name w:val="Style"/>
    <w:basedOn w:val="Normal"/>
    <w:rsid w:val="00F41605"/>
    <w:rPr>
      <w:lang w:val="pl-PL" w:eastAsia="pl-PL"/>
    </w:rPr>
  </w:style>
  <w:style w:type="table" w:customStyle="1" w:styleId="MediumList1-Accent11">
    <w:name w:val="Medium List 1 - Accent 11"/>
    <w:basedOn w:val="TableNormal"/>
    <w:uiPriority w:val="70"/>
    <w:rsid w:val="009539E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7F6B37"/>
    <w:pPr>
      <w:ind w:left="720"/>
      <w:contextualSpacing/>
    </w:pPr>
  </w:style>
  <w:style w:type="character" w:styleId="CommentReference">
    <w:name w:val="annotation reference"/>
    <w:basedOn w:val="DefaultParagraphFont"/>
    <w:rsid w:val="007F6B37"/>
    <w:rPr>
      <w:sz w:val="18"/>
      <w:szCs w:val="18"/>
    </w:rPr>
  </w:style>
  <w:style w:type="paragraph" w:styleId="CommentText">
    <w:name w:val="annotation text"/>
    <w:basedOn w:val="Normal"/>
    <w:link w:val="CommentTextChar"/>
    <w:rsid w:val="007F6B37"/>
  </w:style>
  <w:style w:type="character" w:customStyle="1" w:styleId="CommentTextChar">
    <w:name w:val="Comment Text Char"/>
    <w:basedOn w:val="DefaultParagraphFont"/>
    <w:link w:val="CommentText"/>
    <w:rsid w:val="007F6B3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6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F6B37"/>
    <w:rPr>
      <w:b/>
      <w:bCs/>
      <w:sz w:val="24"/>
      <w:szCs w:val="24"/>
      <w:lang w:val="en-US" w:eastAsia="en-US"/>
    </w:rPr>
  </w:style>
  <w:style w:type="character" w:customStyle="1" w:styleId="hps">
    <w:name w:val="hps"/>
    <w:rsid w:val="002702F4"/>
  </w:style>
  <w:style w:type="paragraph" w:styleId="NoSpacing">
    <w:name w:val="No Spacing"/>
    <w:uiPriority w:val="1"/>
    <w:qFormat/>
    <w:rsid w:val="002702F4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2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table" w:customStyle="1" w:styleId="LightList-Accent11">
    <w:name w:val="Light List - Accent 11"/>
    <w:basedOn w:val="TableNormal"/>
    <w:uiPriority w:val="61"/>
    <w:rsid w:val="000A2AF0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0A2AF0"/>
  </w:style>
  <w:style w:type="character" w:styleId="Emphasis">
    <w:name w:val="Emphasis"/>
    <w:basedOn w:val="DefaultParagraphFont"/>
    <w:uiPriority w:val="20"/>
    <w:qFormat/>
    <w:rsid w:val="000A2AF0"/>
    <w:rPr>
      <w:i/>
      <w:iCs/>
    </w:rPr>
  </w:style>
  <w:style w:type="character" w:styleId="Strong">
    <w:name w:val="Strong"/>
    <w:basedOn w:val="DefaultParagraphFont"/>
    <w:uiPriority w:val="22"/>
    <w:qFormat/>
    <w:rsid w:val="000A2AF0"/>
    <w:rPr>
      <w:b/>
      <w:bCs/>
    </w:rPr>
  </w:style>
  <w:style w:type="character" w:customStyle="1" w:styleId="textexposedshow">
    <w:name w:val="text_exposed_show"/>
    <w:basedOn w:val="DefaultParagraphFont"/>
    <w:rsid w:val="009012BB"/>
  </w:style>
  <w:style w:type="character" w:customStyle="1" w:styleId="usercontent">
    <w:name w:val="usercontent"/>
    <w:basedOn w:val="DefaultParagraphFont"/>
    <w:rsid w:val="00CC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ertforum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pertforum.r" TargetMode="External"/><Relationship Id="rId1" Type="http://schemas.openxmlformats.org/officeDocument/2006/relationships/hyperlink" Target="http://www.expertforum.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EDB7F9-B019-4B81-909D-503A437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12761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http://www.expertforum.r/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sorin</cp:lastModifiedBy>
  <cp:revision>36</cp:revision>
  <cp:lastPrinted>2013-03-25T14:43:00Z</cp:lastPrinted>
  <dcterms:created xsi:type="dcterms:W3CDTF">2014-12-03T05:03:00Z</dcterms:created>
  <dcterms:modified xsi:type="dcterms:W3CDTF">2014-12-03T06:20:00Z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-1058697350</vt:i4>
  </property>
  <property fmtid="{D5CDD505-2E9C-101B-9397-08002B2CF9AE}" pid="3" name="_NewReviewCycle">
    <vt:lpwstr/>
  </property>
  <property fmtid="{D5CDD505-2E9C-101B-9397-08002B2CF9AE}" pid="4" name="_EmailSubject">
    <vt:lpwstr>3 pag mici despre stimulente + esti OK cu acknowledgements la sfarsit? (sorin vrea sa-l distribuie azi)</vt:lpwstr>
  </property>
  <property fmtid="{D5CDD505-2E9C-101B-9397-08002B2CF9AE}" pid="5" name="_AuthorEmail">
    <vt:lpwstr>APALIU@imf.org</vt:lpwstr>
  </property>
  <property fmtid="{D5CDD505-2E9C-101B-9397-08002B2CF9AE}" pid="6" name="_AuthorEmailDisplayName">
    <vt:lpwstr>Paliu, Anca Dana</vt:lpwstr>
  </property>
  <property fmtid="{D5CDD505-2E9C-101B-9397-08002B2CF9AE}" pid="7" name="_ReviewingToolsShownOnce">
    <vt:lpwstr/>
  </property>
</Properties>
</file>