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120" w:after="0"/>
        <w:jc w:val="center"/>
        <w:rPr>
          <w:rFonts w:ascii="Arial" w:hAnsi="Arial" w:cs="Arial"/>
          <w:sz w:val="26"/>
          <w:szCs w:val="26"/>
          <w:lang w:val="ro-RO"/>
        </w:rPr>
      </w:pPr>
      <w:r>
        <w:rPr>
          <w:rFonts w:cs="Arial" w:ascii="Arial" w:hAnsi="Arial"/>
          <w:sz w:val="26"/>
          <w:szCs w:val="26"/>
          <w:lang w:val="ro-RO"/>
        </w:rPr>
        <w:t>ORDONANŢĂ DE URGENŢĂ</w:t>
      </w:r>
    </w:p>
    <w:p>
      <w:pPr>
        <w:pStyle w:val="Normal"/>
        <w:spacing w:lineRule="auto" w:line="240" w:before="120" w:after="0"/>
        <w:jc w:val="center"/>
        <w:rPr>
          <w:rFonts w:ascii="Arial" w:hAnsi="Arial" w:cs="Arial"/>
          <w:sz w:val="26"/>
          <w:szCs w:val="26"/>
          <w:lang w:val="ro-RO"/>
        </w:rPr>
      </w:pPr>
      <w:r>
        <w:rPr>
          <w:rFonts w:cs="Arial" w:ascii="Arial" w:hAnsi="Arial"/>
          <w:sz w:val="26"/>
          <w:szCs w:val="26"/>
          <w:lang w:val="ro-RO"/>
        </w:rPr>
        <w:t>privind unele măsuri fiscal-bugetare, prorogarea unor termene, precum şi pentru modificarea unor acte normative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obligaţia Guvernului de a conduce politica fiscal-bugetară în mod prudent pentru a gestiona resursele şi obligaţiile bugetare, precum şi riscurile fiscale de o manieră care să asigure sustenabilitatea poziţiei fiscale pe termen mediu şi lung, precum şi predictibilitatea politicii fiscal-bugetare pe termen mediu, în scopul menţinerii stabilităţii macroeconomice,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ţinând seama de faptul că la fundamentarea bugetului de stat şi a bugetului asigurărilor sociale de stat pe anul 2022 este necesar ca măsurile fiscal-bugetare să fie aprobate prin acte normative,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Recomandarea Consiliului din 3 aprilie 2020 în vederea încetării situaţiei de deficit public excesiv din România, potrivit căreia România trebuie să pună în aplicare în mod riguros măsurile necesare pentru corectarea deficitului excesiv,</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necesitatea creării unui spaţiu bugetar pentru alocarea de sume pentru susţinerea investiţiilor publice şi implementarea proiectelor finanţate din fonduri europene, într-o manieră eficientă, profesionistă şi transparentă, cu efect multiplicator şi aport direct la formarea brută de capital fix,</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ţinând cont de faptul că pentru perioada 2022 - 2024 se impune o construcţie bugetară responsabilă şi credibilă, crearea de spaţiu fiscal, vital în economii emergente în condiţiile unui cadru internaţional şi intern dificil,</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necesitatea adoptării, în cel mai scurt timp, a Strategiei fiscal-bugetare pe perioada 2022 - 2024, a legii bugetului de stat şi a legii bugetului asigurărilor sociale de stat pe anul 2022,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necesitatea păstrării echilibrelor bugetare prin adoptarea de măsuri menite să limiteze creşterea cheltuielilor bugetare permanente,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ţinând cont că neadoptarea măsurilor de limitare a cheltuielilor bugetare ar genera un necesar de finanțare suplimentar în anul 2022, cu impact asupra deficitului bugetului general consolidat de  6,2% din produsul intern brut, afectând sustenabilitatea finanțelor publice,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luând în considerare că neadoptarea măsurilor fiscale ar determina o reducere a veniturilor bugetare în anul 2022 de 6,0 miliarde lei, reprezentând 0,5% din produsul intern brut în anul 2022,</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ţinând cont că, în situaţii excepţionale, organizarea şi desfăşurarea examenului de atestare a cunoştinţelor dobândite în domeniul Sistemului European de Conturi (SEC) trebuie să se realizeze numai în condiţii de siguranţă atât pentru participanţi, cât şi pentru personalul din cadrul Ministerului Finanţelor, dar şi pentru asigurarea continuităţii activităţii instituţiilor din administraţia publică centrală în domeniul economic, devine imperativă instituirea unor măsuri cu caracter temporar care să permită numirea conducătorului compartimentului financiar-contabil,</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luând în considerare că nepromovarea acestei măsuri ar avea consecinţe negative, în sensul că ar determina imposibilitatea ocupării temporare a postului de conducător al compartimentului financiar-contabil, aspect de natură să influenţeze negativ activitatea entităţilor publice, întrucât s-ar afla în imposibilitate de a înregistra în contabilitate operaţiunile patrimoniale de natura activelor, datoriilor, capitalurilor proprii, a veniturilor şi cheltuielilor, de a afectua plăți și de a întocmi situaţiile financiare şi de elaborare şi fundamentare proiectului bugetului instituţiei,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că situaţia prezentată întruneşte premisele unei situaţii urgente şi extraordinare care impune adoptarea de măsuri imediate în vederea stabilirii cadrului normativ potrivit, neadoptarea acestor măsuri, cu celeritate, putând avea consecinţe negative, în sensul că ar genera:</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 un impact suplimentar asupra deficitului bugetului general consolidat, afectând sustenabilitatea finanţelor publice,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b) întârzieri în adoptarea bugetului de stat şi a bugetului asigurărilor sociale de stat pe anul 2022, afectând posibilităţile de finanţare a acţiunilor de limitare a răspândirii coronavirusului SARS-CoV-2,</w:t>
      </w:r>
    </w:p>
    <w:p>
      <w:pPr>
        <w:pStyle w:val="Normal"/>
        <w:spacing w:lineRule="auto" w:line="240" w:before="120" w:after="0"/>
        <w:jc w:val="both"/>
        <w:rPr/>
      </w:pPr>
      <w:r>
        <w:rPr>
          <w:rFonts w:cs="Arial" w:ascii="Arial" w:hAnsi="Arial"/>
          <w:sz w:val="26"/>
          <w:szCs w:val="26"/>
          <w:lang w:val="ro-RO"/>
        </w:rPr>
        <w:t xml:space="preserve">     </w:t>
      </w:r>
      <w:r>
        <w:rPr>
          <w:rFonts w:cs="Arial" w:ascii="Arial" w:hAnsi="Arial"/>
          <w:sz w:val="26"/>
          <w:szCs w:val="26"/>
          <w:lang w:val="ro-RO"/>
        </w:rPr>
        <w:tab/>
        <w:t>având în vedere necesitatea revizuirii regimului fiscal aplicabil biletelor de valoare sub forma tichetelor cadou acordate persoanelor fizice care realizează venituri din salarii și asimilate salariilor de către angajatori/plătitori, potrivit legii, având în vedere situațiile constatate de organele fiscale de control;</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ținând cont de necesitatea majorării plafonului neimpozabil și care nu se cuprinde în baza de calcul al contribuțiilor de asigurări sociale obligatorii de la suma de 150 lei la suma de 300 lei pentru fiecare persoană și fiecare eveniment, în cazul cadourilor în bani şi/sau în natură;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implementarea măsurilor din domeniul fiscal cuprinse în Programul de guvernare, aprobat prin Hotărârea Parlamentului României nr. 42/2021 pentru acordarea încrederii Guvernului, privind eliminarea facilității de exceptare de la plata contribuției de asigurări sociale de sănătate pentru persoanele fizice care au calitatea de pensionari, pentru veniturile din pensii care depășesc 4.000 de lei, pentru partea ce depășește suma lunară de 4.000 de lei, pentru fiecare drept de pensie;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obiectivele din Planul Național de Redresare și Reziliență cu privire la necesitatea reducerii distorsiunilor și stimulentelor fiscale;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necesitatea efectuării unor corelări în vederea asigurării aplicării unitare a reglementărilor fiscale cu privire la impozitul pe venit și contribuțiile sociale obligatorii;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că măsura suspendării stimulentului fiscal pentru contribuabilii plătitori de impozit pe profit care efectuează cheltuieli cu educația timpurie încetează la data de 31 decembrie 2021 și faptul că reglementarea actuală privind facilitatea fiscală pentru cheltuielile cu educația timpurie nu corespunde cu normele comunitare adoptate în domeniul taxei pe valoarea adăugată și accizelor și nici cu cele naționale din domeniul impozitului pe salarii;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ținând seama de faptul că nepromovarea reglementărilor în domeniul impozitului pe venit și al contribuțiilor sociale obligatorii referitoare la tratamentul fiscal aplicabil veniturilor obținute sub forma tichetelor cadou ar avea consecinţe negative, în sensul că: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a) ar conduce la posibilitatea plății veniturilor salariale sub forma tichetelor cadou având în vedere regimul fiscal actual al exceptării acestora de la plata contribuțiilor sociale obligatorii, generând diminuarea încasărilor la bugetul de stat și bugetul de asigurări sociale;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b) nu sunt valorificate în sistemele de asigurări sociale veniturile obținute sub forma tichetelor cadou de către persoanele fizice care realizează venituri din salarii și asimilate salariilor, ceea ar avea ca efect și diminuarea cuantumului venitului din pensie în cazul persoanelor fizice respective;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c) produce distorsiuni din punct de vedere concurențial pe piața muncii;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d) sunt diminuate veniturile bugetelor de asigurări sociale.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că neadoptarea măsurii privind eliminarea facilității de exceptare de la plata contribuției de asigurări sociale de sănătate pentru persoanele fizice care au calitatea de pensionari pentru veniturile din pensii care depășesc 4.000 de lei ar conduce la menținerea situației actuale privind fondurile insuficiente de care dispune bugetul Fondului național unic de asigurări sociale de sănătate în contextul crizei sanitare actuale determinată de situația epidemiologică din România generată de răspândirea coronavirusului SARS-CoV-2;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având în vedere că în lipsa efectuării corelărilor tehnice necesare ar persista echivocul prevederilor legale, generând confuzie la nivelul contribuabilului/plătitorului de venit;</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luând în considerare faptul că neadoptarea măsurii cu privire la actuala reglementare referitoare la facilitatea fiscală pentru cheltuielile cu educația timpurie, suspendată pentru perioada 1 aprilie – 31 decembrie 2021 inclusiv, conduce la menținerea situației existente înainte de suspendarea acestor prevederi, în care subzistă inadvertențe și lacune nesoluționate ce nu permit aplicarea, precum și implicații bugetare semnificative, pentru a se putea da eficiență reglementării și preîntâmpina afectarea în mod negativ a bugetului de stat se impune înlăturarea acestei situații, cu celeritate, prin prelungirea perioadei de suspendare a reglementărilor incidente până la 31 decembrie 2022,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în considerarea faptului că neadoptarea măsurii cu privire la suspendarea acordării facilității fiscale pentru cheltuielile cu educația timpurie ar influența în mod negativ veniturile bugetului de stat,</w:t>
      </w:r>
    </w:p>
    <w:p>
      <w:pPr>
        <w:pStyle w:val="Normal"/>
        <w:spacing w:lineRule="auto" w:line="240" w:before="120" w:after="0"/>
        <w:jc w:val="both"/>
        <w:rPr/>
      </w:pPr>
      <w:r>
        <w:rPr>
          <w:rFonts w:cs="Arial" w:ascii="Arial" w:hAnsi="Arial"/>
          <w:sz w:val="26"/>
          <w:szCs w:val="26"/>
          <w:lang w:val="ro-RO"/>
        </w:rPr>
        <w:t xml:space="preserve">    </w:t>
      </w:r>
      <w:r>
        <w:rPr>
          <w:rFonts w:cs="Arial" w:ascii="Arial" w:hAnsi="Arial"/>
          <w:sz w:val="26"/>
          <w:szCs w:val="26"/>
          <w:lang w:val="ro-RO"/>
        </w:rPr>
        <w:tab/>
        <w:t xml:space="preserve"> ținând cont de necesitatea luării unor măsuri urgente,  în sezonul rece, pentru atenuarea impactului creșterii prețurilor la energia termică livrată populației și altor categorii de consumatori cu un grad redus de suportabilitate, </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ab/>
        <w:t xml:space="preserve">întrucât este necesară instituirea urgentă a unor reguli în vederea respectării caracterului social pentru aplicarea cotei reduse de TVA, conform legislației europene în domeniu, în cazul livrărilor de locuințe, </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 xml:space="preserve">având în vedere scopul refacerii mijlocului legal de protecţie a bugetului general consolidat al statului, dar și necesitatea protejării persoanelor cărora li s-au reţinut impozitele cu diferite destinaţii (contribuţii, impozite etc.), dar nu au fost virate la bugetul general consolidat,  </w:t>
      </w:r>
    </w:p>
    <w:p>
      <w:pPr>
        <w:pStyle w:val="Normal"/>
        <w:spacing w:lineRule="auto" w:line="240" w:before="120" w:after="0"/>
        <w:jc w:val="both"/>
        <w:rPr/>
      </w:pPr>
      <w:r>
        <w:rPr>
          <w:rFonts w:cs="Arial" w:ascii="Arial" w:hAnsi="Arial"/>
          <w:sz w:val="26"/>
          <w:szCs w:val="26"/>
          <w:lang w:val="ro-RO"/>
        </w:rPr>
        <w:t xml:space="preserve">     </w:t>
      </w:r>
      <w:r>
        <w:rPr>
          <w:rFonts w:cs="Arial" w:ascii="Arial" w:hAnsi="Arial"/>
          <w:sz w:val="26"/>
          <w:szCs w:val="26"/>
          <w:lang w:val="ro-RO"/>
        </w:rPr>
        <w:t>luând în considerare faptul că menținerea situației actuale reprezintă o vulnerabilitate atât pentru bugetul public care a fost, astfel, lipsit de resursele financiare necesare prin săvârșirea infracțiunii de reținere și nevărsare a impozitelor și/sau contribuţiilor cu reţinere la sursă, cât și pentru persoanele care ar trebui să beneficieze de drepturile constituționale cum ar fi: dreptul la ocrotirea sănătății, dreptul la pensie, la ajutor pentru șomaj sau la alte forme de asigurări sociale,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a</w:t>
      </w:r>
      <w:r>
        <w:rPr>
          <w:rFonts w:eastAsia="Times New Roman" w:cs="Times New Roman" w:ascii="Arial" w:hAnsi="Arial"/>
          <w:sz w:val="26"/>
          <w:szCs w:val="26"/>
          <w:lang w:val="ro-RO"/>
        </w:rPr>
        <w:t>vând în vedere necesitatea clarificării urgente, din perspectiva regimului TVA aplicabil, a unor prevederi din Ordonanța de urgență a Guvernului nr. 118/2021, cu modificările și completările ulterioare,</w:t>
      </w:r>
    </w:p>
    <w:p>
      <w:pPr>
        <w:pStyle w:val="Normal"/>
        <w:spacing w:lineRule="auto" w:line="240" w:before="0" w:after="0"/>
        <w:jc w:val="both"/>
        <w:rPr>
          <w:sz w:val="26"/>
          <w:szCs w:val="26"/>
          <w:lang w:val="ro-RO"/>
        </w:rPr>
      </w:pPr>
      <w:r>
        <w:rPr>
          <w:rFonts w:eastAsia="Times New Roman" w:cs="Times New Roman" w:ascii="Arial" w:hAnsi="Arial"/>
          <w:sz w:val="26"/>
          <w:szCs w:val="26"/>
          <w:lang w:val="ro-RO"/>
        </w:rPr>
        <w:tab/>
        <w:t>întrucât în lipsa clarificărilor referitoare la regimul TVA aplicabil, măsurile dispuse prin Ordonanța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aprobată cu modificări și completări prin Legea nr. 259/2021, nu ar putea fi aplicate corespunzător,</w:t>
      </w:r>
    </w:p>
    <w:p>
      <w:pPr>
        <w:pStyle w:val="Normal"/>
        <w:spacing w:lineRule="auto" w:line="240" w:before="0" w:after="0"/>
        <w:jc w:val="both"/>
        <w:rPr>
          <w:sz w:val="26"/>
          <w:szCs w:val="26"/>
          <w:lang w:val="ro-RO"/>
        </w:rPr>
      </w:pPr>
      <w:r>
        <w:rPr>
          <w:rFonts w:eastAsia="Times New Roman" w:cs="Times New Roman" w:ascii="Arial" w:hAnsi="Arial"/>
          <w:sz w:val="26"/>
          <w:szCs w:val="26"/>
          <w:lang w:val="ro-RO"/>
        </w:rPr>
        <w:tab/>
        <w:t>având în vedere faptul că impozitul prevăzut la art. II  din Legea nr. 259/2021 pentru aprobarea Ordonanței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se datorează în perioada 1 noiembrie 2021 - 31 martie 2022,</w:t>
      </w:r>
    </w:p>
    <w:p>
      <w:pPr>
        <w:pStyle w:val="Normal"/>
        <w:spacing w:lineRule="auto" w:line="240" w:before="120" w:after="0"/>
        <w:jc w:val="both"/>
        <w:rPr>
          <w:rFonts w:ascii="Arial" w:hAnsi="Arial" w:eastAsia="Times New Roman" w:cs="Times New Roman"/>
          <w:sz w:val="26"/>
          <w:szCs w:val="26"/>
          <w:lang w:val="ro-RO"/>
        </w:rPr>
      </w:pPr>
      <w:r>
        <w:rPr>
          <w:rFonts w:eastAsia="Times New Roman" w:cs="Times New Roman" w:ascii="Arial" w:hAnsi="Arial"/>
          <w:sz w:val="26"/>
          <w:szCs w:val="26"/>
          <w:lang w:val="ro-RO"/>
        </w:rPr>
        <w:t xml:space="preserve">     </w:t>
      </w:r>
      <w:r>
        <w:rPr>
          <w:rFonts w:eastAsia="Times New Roman" w:cs="Times New Roman" w:ascii="Arial" w:hAnsi="Arial"/>
          <w:sz w:val="26"/>
          <w:szCs w:val="26"/>
          <w:lang w:val="ro-RO"/>
        </w:rPr>
        <w:tab/>
        <w:t>în vederea evitării unui blocaj la nivelul producătorilor de energie, în contextul în care este necesară clarificarea de urgență a intenției de legiferare, cu privire la termenele de declarare și plată a acestui impozit cât și la bugetul la care se face venit,</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având în vedere necesitatea instituirii unor măsuri urgente pentru întărirea capacității de urmărire și colectare a sumelor datorate bugetului de stat pentru livrările de produse cu risc fiscal ridicat, prin transmiterea facturilor în sistemul RO e-Factura,</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având în vederea necesitatea instituirii unei norme specifice de finanțare din bugetul Agenției Națională de Cadastru și Publicitate Imobiliară a lucrărilor din cadrul proiectului major, care vor degreva și bugetul statului de aceste cheltuieli, precum și dispozițiile art. 6 alin. (5) și ale art 8 alin. (1) din Ordonanța de urgență a Guvernului nr. 40/2015, se impune instituirea unor norme speciale care să reglementeze posibilitatea finanțării, din veniturile proprii ale Agenției Națională de Cadastru și Publicitate Imobiliară, a oricăror cheltuieli și contribuții, altele decât contravaloarea contribuției din fonduri europene,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reglementarea expresă a suportării acestor cheltuieli din bugetul Agenției Națională de Cadastru și Publicitate Imobiliară va contribui la consolidarea capacității financiare și operaționale, la optimizarea managementului de proiect, necesar a fi asigurat de urgență pentru dezvoltarea și urmărirea de strategii pentru accelerarea implementării acestuia, finanțarea bugetară impredictibilă  constituind un impediment pentru desfășurarea optimă a activității,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din aceste considerente se impune eliminarea urgentă a acestor impedimente, esențială pentru atingerea obiectivului Agenției Națională de Cadastru și Publicitate Imobiliarăde a asigura performanța în domeniul specific de activitate, domeniu recunoscut ca fiind de importanță națională, ținând cont că luarea tuturor măsurilor necesare este esențială pentru respectarea angajamentelor asumate de Guvernul României privind asigurarea implementării proiectului inclus în Axa prioritară 11 din Programul operațional regional 2014-2020,</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 xml:space="preserve">ținând cont că neadoptarea în regim de urgenţă a măsurilor necesare utilizării fondurilor existente în bugetul Agenției Națională de Cadastru și Publicitate Imobiliarăși instituțiilor subordonate pentru asigurarea implementării proiectului major, ar putea determina determină un blocaj în activitate în realizarea proiectelor de importanţă naţională din agricultură şi infrastructură şi afectează negativ angajamentele guvernamentale,  </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ținând cont de faptul că activitatea de control și audit presupune verificarea unui volum ridicat de documente și transportul acestora în vederea desfășurării în bune condiții a activității specifice,</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întrucât neadoptarea, prin ordonanţă de urgenţă, a acestor măsuri imediate şi a reglementărilor pentru implementarea lor este de natură să genereze disfuncţionalităţi majore în ceea ce privește buna derulare a activităţilor de control și audit pe care Curtea de Conturi le are în responsabilitate,</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având în vedere faptul că neluarea unor măsuri urgente, cu caracter excepțional, de natură să creeze cadrul necesar pentru organizarea și funcționarea Ministerului Familiei, Tineretului și Egalității de Șanse ar bloca activitatea la nivel național din domeniile politicilor familiale, tineretului, protecției drepturilor copilului și adopției, violenței în familie și egalității de sanse,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în considerarea faptului că aceste elemente vizează interesul general public şi constituie situaţii de urgenţă şi extraordinare a căror reglementare nu poate fi amânată,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În temeiul art. 115 alin. (4) din Constituţia României, republicată,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b/>
          <w:bCs/>
          <w:sz w:val="26"/>
          <w:szCs w:val="26"/>
          <w:lang w:val="ro-RO"/>
        </w:rPr>
        <w:t>Guvernul României</w:t>
      </w:r>
      <w:r>
        <w:rPr>
          <w:rFonts w:cs="Arial" w:ascii="Arial" w:hAnsi="Arial"/>
          <w:sz w:val="26"/>
          <w:szCs w:val="26"/>
          <w:lang w:val="ro-RO"/>
        </w:rPr>
        <w:t xml:space="preserve"> adoptă prezenta ordonanţă de urgenţă.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rFonts w:ascii="Arial" w:hAnsi="Arial" w:cs="Arial"/>
          <w:sz w:val="26"/>
          <w:szCs w:val="26"/>
          <w:lang w:val="ro-RO"/>
        </w:rPr>
      </w:pPr>
      <w:r>
        <w:rPr>
          <w:rFonts w:cs="Arial" w:ascii="Arial" w:hAnsi="Arial"/>
          <w:b/>
          <w:bCs/>
          <w:sz w:val="26"/>
          <w:szCs w:val="26"/>
          <w:lang w:val="ro-RO"/>
        </w:rPr>
        <w:t>Art. I</w:t>
      </w:r>
      <w:r>
        <w:rPr>
          <w:rFonts w:cs="Arial" w:ascii="Arial" w:hAnsi="Arial"/>
          <w:sz w:val="26"/>
          <w:szCs w:val="26"/>
          <w:lang w:val="ro-RO"/>
        </w:rPr>
        <w:t xml:space="preserve"> - (1) Prin derogare de la prevederile art. 38 alin. (4) și (4^1) lit. c) din Legea-cadru nr. 153/2017 privind salarizarea personalului plătit din fonduri publice, cu modificările și completările ulterioare, în anul 2022, începând cu data de 1 ianuarie, cuantumul brut al salariilor de bază/soldelor de funcţie/salariilor de funcţie/ indemnizațiilor de încadrare lunară de care beneficiază personalul plătit din fonduri publice se menține la același nivel cu cel ce se acordă pentru luna decembrie 2021 în măsura în care personalul ocupă aceeași funcție și își desfășoară activitatea în aceleași condiții.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Prin derogare de la prevederile art. 38 alin. (3) lit. f) din Legea-cadru nr. 153/2017, cu modificările și completările ulterioare, în anul 2022, începând cu data de 1 ianuarie, indemnizațiile lunare pentru funcțiile de demnitate publică și funcțiile asimilate acestora, prevăzute în anexa nr. IX la Legea-cadru nr. 153/2017, cu modificările și completările ulterioare, se mențin la nivelul aferent lunii decembrie 2021.</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Prin excepție de la alin. (1), pentru personalul care ocupă funcțiile prevăzute în anexa nr. II ”Familia ocupațională de funcții bugetare ”Sănătate și asistență socială” ” la Legea-cadru nr. 153/2017, cu modificările și completările ulterioare, începând cu data de 1 ianuarie 2022 salariile de bază se majorează cu 1/4 din diferenţa dintre salariul de bază prevăzut de Legea-cadru nr. 153/2017, cu modificările și completările ulterioare pentru anul 2022 şi cel din luna decembrie 2021.</w:t>
      </w:r>
    </w:p>
    <w:p>
      <w:pPr>
        <w:pStyle w:val="Normal"/>
        <w:spacing w:lineRule="auto" w:line="240" w:before="120" w:after="0"/>
        <w:ind w:firstLine="720"/>
        <w:jc w:val="both"/>
        <w:rPr/>
      </w:pPr>
      <w:r>
        <w:rPr>
          <w:rFonts w:cs="Arial" w:ascii="Arial" w:hAnsi="Arial"/>
          <w:sz w:val="26"/>
          <w:szCs w:val="26"/>
          <w:lang w:val="ro-RO"/>
        </w:rPr>
        <w:t xml:space="preserve"> </w:t>
      </w:r>
      <w:r>
        <w:rPr>
          <w:rFonts w:cs="Arial" w:ascii="Arial" w:hAnsi="Arial"/>
          <w:sz w:val="26"/>
          <w:szCs w:val="26"/>
          <w:lang w:val="ro-RO"/>
        </w:rPr>
        <w:t>(4) (4) Prin excepție de la alin. (1), pentru personalul didactic de predare, personalul didactic auxiliar, personalul didactic de conducere şi personalul de îndrumare şi control din învăţământ, începând cu data de 1 ianuarie 2022 salariile de bază se majorează cu 1/4 din diferenţa dintre salariul de bază prevăzut de Legea-cadru nr. 153/2017, cu modificările și completările ulterioare pentru anul 2022 şi cele din luna decembrie 2021.</w:t>
      </w:r>
    </w:p>
    <w:p>
      <w:pPr>
        <w:pStyle w:val="Normal"/>
        <w:spacing w:lineRule="auto" w:line="240" w:before="120" w:after="0"/>
        <w:ind w:firstLine="720"/>
        <w:jc w:val="both"/>
        <w:rPr/>
      </w:pPr>
      <w:r>
        <w:rPr>
          <w:rFonts w:cs="Arial" w:ascii="Arial" w:hAnsi="Arial"/>
          <w:sz w:val="26"/>
          <w:szCs w:val="26"/>
          <w:lang w:val="ro-RO"/>
        </w:rPr>
        <w:t xml:space="preserve">(6) Prin derogare de la prevederile art. 18 alin. (1) din Legea-cadru nr. 153/2017, cu modificările și completările ulterioare, în anul 2022, valoarea lunară a indemnizației de hrană se menține la nivelul din anul 2021. </w:t>
      </w:r>
    </w:p>
    <w:p>
      <w:pPr>
        <w:pStyle w:val="Normal"/>
        <w:spacing w:lineRule="auto" w:line="240" w:before="120" w:after="0"/>
        <w:ind w:firstLine="720"/>
        <w:jc w:val="both"/>
        <w:rPr/>
      </w:pPr>
      <w:r>
        <w:rPr>
          <w:rFonts w:cs="Arial" w:ascii="Arial" w:hAnsi="Arial"/>
          <w:sz w:val="26"/>
          <w:szCs w:val="26"/>
          <w:lang w:val="ro-RO"/>
        </w:rPr>
        <w:t>(7) Cuantumul indemnizaţiilor de hrană acordate conform alin. (6) personalului din cadrul instituţiilor din sistemul sanitar şi de asistenţă socială nu se ia în calcul la determinarea limitei prevăzute la art. 25 alin. (2) din Legea-cadru nr. 153/2017, cu modificările şi completările ulterioare.</w:t>
      </w:r>
    </w:p>
    <w:p>
      <w:pPr>
        <w:pStyle w:val="Normal"/>
        <w:spacing w:lineRule="auto" w:line="240" w:before="120" w:after="0"/>
        <w:ind w:firstLine="720"/>
        <w:jc w:val="both"/>
        <w:rPr/>
      </w:pPr>
      <w:r>
        <w:rPr>
          <w:rFonts w:cs="Arial" w:ascii="Arial" w:hAnsi="Arial"/>
          <w:sz w:val="26"/>
          <w:szCs w:val="26"/>
          <w:lang w:val="ro-RO"/>
        </w:rPr>
        <w:t>(8) Prevederile art. 26 alin. (4)-(6) din Legea-cadru nr. 153/2017, cu modificările și completările ulterioare, intră în vigoare la data de 1 ianuarie2027.</w:t>
      </w:r>
    </w:p>
    <w:p>
      <w:pPr>
        <w:pStyle w:val="Normal"/>
        <w:spacing w:lineRule="auto" w:line="240" w:before="120" w:after="0"/>
        <w:ind w:firstLine="720"/>
        <w:jc w:val="both"/>
        <w:rPr/>
      </w:pPr>
      <w:r>
        <w:rPr>
          <w:rFonts w:cs="Arial" w:ascii="Arial" w:hAnsi="Arial"/>
          <w:sz w:val="26"/>
          <w:szCs w:val="26"/>
          <w:lang w:val="ro-RO"/>
        </w:rPr>
        <w:t>(9) Pentru personalul încadrat în unităţile sanitare publice, inclusiv cele care au ca asociat unic unităţile administrativ-teritoriale, aflate în relaţie contractuală cu casele de asigurări de sănătate, influenţele financiare determinate de creşterile salariale prevăzute la alin. (3) se asigură prin transferuri din bugetul Fondului naţional unic de asigurări sociale de sănătate, de la titlul VI "Transferuri între unităţi ale administraţiei publice".</w:t>
      </w:r>
    </w:p>
    <w:p>
      <w:pPr>
        <w:pStyle w:val="Normal"/>
        <w:spacing w:lineRule="auto" w:line="240" w:before="120" w:after="0"/>
        <w:ind w:firstLine="720"/>
        <w:jc w:val="both"/>
        <w:rPr/>
      </w:pPr>
      <w:r>
        <w:rPr>
          <w:rFonts w:cs="Arial" w:ascii="Arial" w:hAnsi="Arial"/>
          <w:b/>
          <w:bCs/>
          <w:sz w:val="26"/>
          <w:szCs w:val="26"/>
          <w:lang w:val="ro-RO"/>
        </w:rPr>
        <w:t>Art. II</w:t>
      </w:r>
      <w:r>
        <w:rPr>
          <w:rFonts w:cs="Arial" w:ascii="Arial" w:hAnsi="Arial"/>
          <w:sz w:val="26"/>
          <w:szCs w:val="26"/>
          <w:lang w:val="ro-RO"/>
        </w:rPr>
        <w:t xml:space="preserve"> - (1) Prin derogare de la prevederile art. 21 alin. (2) - (6) din Legea-cadru nr. 153/2017, cu modificările şi completările ulterioare, în anul 2022, munca suplimentară efectuată peste durata normală a timpului de lucru de către personalul din sectorul bugetar încadrat în funcţii de execuţie sau de conducere, precum şi munca prestată în zilele de repaus săptămânal, de sărbători legale şi în celelalte zile în care, în conformitate cu reglementările în vigoare, nu se lucrează în cadrul schimbului normal de lucru se vor compensa numai cu timp liber corespunzător acestora.</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(2) Prin excepţie de la prevederile alin. (1), în anul 2022, pentru activitatea desfăşurată de personalul militar, poliţişti, poliţiştii de penitenciare şi personalul civil din instituţiile publice de apărare, ordine publică şi securitate naţională, în zilele de repaus săptămânal, de sărbători legale şi în celelalte zile în care, în conformitate cu reglementările în vigoare, nu se lucrează, se acordă drepturile prevăzute de legislaţia aferentă lunii iunie 2017. Baza de calcul pentru acordarea acestor drepturi o reprezintă solda de funcţie/salariul de funcţie/salariul de bază cuvenit(ă).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(3) Prin excepţie de la prevederile alin. (1), munca suplimentară prestată în anul 2022 peste programul normal de lucru de către personalul cu statut special care are atribuţii pentru desfăşurarea activităţilor deosebite cu caracter operativ sau neprevăzut în domeniul ordinii şi siguranţei publice, în respectarea regimului frontierei de stat a României, în situaţii de urgenţă, în personalizarea, emiterea şi evidenţa generală a documentelor de identitate şi a paşapoartelor simple, în emiterea şi evidenţa permiselor de conducere şi a certificatelor de înmatriculare ale autovehiculelor rutiere, precum şi de către polițiștii de penitenciare, care nu se poate compensa cu timp liber corespunzător, se plăteşte cu o majorare de 75% din solda de funcţie/salariul de funcţie cuvenit(ă), proporţional cu timpul efectiv lucrat în aceste condiţii. Plata majorării se efectuează în cazul în care compensarea prin ore libere plătite nu este posibilă în următoarele 60 de zile după prestarea muncii suplimentare.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(4) Plata majorării prevăzute la alin. (3) se efectuează astfel încât să se încadreze în limita de 3% din suma soldelor de funcţie/salariilor de funcţie, soldelor de grad/salariilor gradului profesional deţinut, gradaţiilor şi a soldelor de comandă/salariilor de comandă, la nivelul ordonatorului principal de credite.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(5) Prin excepție de la prevederile alin. (4), în cazul polițiștilor de  penitenciare, limita de 3% se stabileşte la nivelul bugetului centralizat al Administraţiei Naţionale a Penitenciarelor.</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(6) În situaţia prevăzută la alin. (3), munca suplimentară prestată peste programul normal de lucru se poate plăti numai dacă efectuarea orelor suplimentare a fost dispusă de şeful ierarhic, în scris, fără a se depăşi 180 de ore anual. În cazuri cu totul deosebite, munca suplimentară se poate efectua şi peste acest plafon, dar nu mai mult de 360 de ore anual, cu aprobarea ordonatorului de credite şi cu acordul sindicatelor reprezentative sau, după caz, al reprezentanţilor salariaţilor, potrivit legii, precum şi cu încadrarea în fondurile bugetare aprobate.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(7) Condiţiile de stabilire a majorării prevăzute la alin. (3) și cele de încadrare în limitele stabilite la alin. (4) și (5), precum şi activităţile deosebite cu caracter operativ sau neprevăzut pentru care se acordă acest drept se stabilesc prin ordin al ordonatorului principal de credite.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(8) Dispoziţiile alin. (3) - (7) nu aduc atingere prevederilor alin. (2), care se aplică în mod corespunzător.</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(9) Ordonatorii de credite răspund în condiţiile legii de stabilirea şi acordarea drepturilor prevăzute la alin. (2) – (5) numai în condiţiile încadrării în cheltuielile de personal aprobate prin buget.</w:t>
      </w:r>
    </w:p>
    <w:p>
      <w:pPr>
        <w:pStyle w:val="Normal"/>
        <w:shd w:val="clear" w:color="auto" w:fill="FFFFFF"/>
        <w:spacing w:before="0" w:after="0"/>
        <w:jc w:val="both"/>
        <w:rPr>
          <w:rFonts w:ascii="Arial" w:hAnsi="Arial" w:cs="Arial"/>
          <w:sz w:val="26"/>
          <w:szCs w:val="26"/>
          <w:lang w:val="ro-RO"/>
        </w:rPr>
      </w:pPr>
      <w:r>
        <w:rPr>
          <w:rFonts w:cs="Arial" w:ascii="Arial" w:hAnsi="Arial"/>
          <w:sz w:val="26"/>
          <w:szCs w:val="26"/>
          <w:lang w:val="ro-RO"/>
        </w:rPr>
        <w:tab/>
        <w:t>(10) Prin excepție de la prevederile alin. (1), pe perioada stării de alertă instituită prin hotărâri ale Guvernului, inițiate în temeiul Legii nr. 55/2020 privind unele măsuri pentru prevenirea şi combaterea efectelor pandemiei de COVID-19, cu modificările și completările ulterioare, munca suplimentară prestată peste programul normal de lucru de către  personalul  din structurile de  specialitate ale  INSP și  ale  direcțiilor  de sănătate   publică   județene   și/sau   a   municipiului   București   prin   asigurarea serviciului de permanență în regim de 24/7, prin serviciul de gardă sau chemări  de la domiciliu, după caz, respectiv de către personalul  din cadrul direcțiilor de sănătate publică județene și/sau a municipiului București prin personalul propriu sau   prin   personal   delegat/detașat   din   cadrul   altor   unități   sanitare,   care realizează triajul epidemiologic din punctele de trecere a frontierei, se plătește conform prevederilor art. 21 alin. (2) și (3) din Legea-cadru nr. 153/2017, cu modificările și completările ulterioare.</w:t>
      </w:r>
    </w:p>
    <w:p>
      <w:pPr>
        <w:pStyle w:val="Normal"/>
        <w:shd w:val="clear" w:color="auto" w:fill="FFFFFF"/>
        <w:spacing w:before="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b/>
          <w:bCs/>
          <w:sz w:val="26"/>
          <w:szCs w:val="26"/>
          <w:lang w:val="ro-RO"/>
        </w:rPr>
        <w:tab/>
        <w:t>Art. III</w:t>
      </w:r>
      <w:r>
        <w:rPr>
          <w:rFonts w:cs="Arial" w:ascii="Arial" w:hAnsi="Arial"/>
          <w:sz w:val="26"/>
          <w:szCs w:val="26"/>
          <w:lang w:val="ro-RO"/>
        </w:rPr>
        <w:t>- (1) În anul 2022, instituţiile şi autorităţile publice, astfel cum sunt definite la art. 2 alin. (1) pct. 30 din Legea nr. 500/2002 privind finanțele publice, cu modificările şi completările ulterioare, şi la art. 2 alin. (1) pct. 39 din Legea nr. 273/2006 privind finanțele publice locale, cu modificările şi completările ulterioare, indiferent de sistemul de finanţare şi de subordonare, inclusiv activităţile finanţate integral din venituri proprii, înfiinţate pe lângă instituţiile publice, nu acordă personalului din cadrul acestora bilete de valoare, cu excepţia tichetelor de creşă, reglementate de Legea nr. 165/2018 privind acordarea biletelor de valoare, cu modificările și completările ulterioare..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(2) În anul 2022, instituţiile şi autorităţile publice, astfel cum sunt definite la art. 2 alin. (1) pct. 30 din Legea nr. 500/2002, cu modificările şi completările ulterioare, şi la art. 2 alin. (1) pct. 39 din Legea nr. 273/2006, cu modificările şi completările ulterioare, indiferent de sistemul de finanţare şi de subordonare, inclusiv activităţile finanţate integral din venituri proprii, înfiinţate pe lângă instituţiile publice, nu acordă personalului din cadrul acestora premii.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(3) Prin excepţie de la prevederile alin. (2), în anul 2022 se pot acorda premii pentru sportivii şi colectivele tehnice care au obţinut performanţe deosebite la acţiunile sportive internaţionale şi naţionale oficiale, pentru elevii, studenţii, cercetătorii şi profesorii care au obţinut distincţii la olimpiadele internaţionale şi concursurile internaţionale şi naţionale pe discipline de învăţământ şi pentru profesorii care i-au pregătit pe aceştia, cu încadrarea în alocarea bugetară.</w:t>
      </w:r>
    </w:p>
    <w:p>
      <w:pPr>
        <w:pStyle w:val="Normal"/>
        <w:spacing w:lineRule="auto" w:line="240" w:before="120" w:after="0"/>
        <w:ind w:firstLine="720"/>
        <w:jc w:val="both"/>
        <w:rPr/>
      </w:pPr>
      <w:r>
        <w:rPr>
          <w:rFonts w:cs="Arial" w:ascii="Arial" w:hAnsi="Arial"/>
          <w:b/>
          <w:bCs/>
          <w:sz w:val="26"/>
          <w:szCs w:val="26"/>
          <w:lang w:val="ro-RO"/>
        </w:rPr>
        <w:t>Art. IV</w:t>
      </w:r>
      <w:r>
        <w:rPr>
          <w:rFonts w:cs="Arial" w:ascii="Arial" w:hAnsi="Arial"/>
          <w:sz w:val="26"/>
          <w:szCs w:val="26"/>
          <w:lang w:val="ro-RO"/>
        </w:rPr>
        <w:t xml:space="preserve"> - (1) În anul 2022, pentru personalul militar, poliţiştii şi polițiștii de penitenciare, indemnizaţiile, compensaţiile, primele, ajutoarele, plăţile compensatorii, despăgubirile, compensaţiile lunare pentru chirie şi alte drepturi acordate potrivit actelor normative în vigoare, care nu fac parte din solda lunară brută/salariul lunar brut, se menţin la nivelul lunii decembrie 2021.</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(2) În anul 2022, cuantumul compensaţiei băneşti, respectiv al alocaţiei valorice pentru drepturile de hrană şi, respectiv, valoarea financiară anuală a normelor de echipare, precum şi valoarea financiară a drepturilor de echipament se menţin în plată la nivelul acordat pentru luna decembrie 2021.</w:t>
      </w:r>
    </w:p>
    <w:p>
      <w:pPr>
        <w:pStyle w:val="Normal"/>
        <w:spacing w:lineRule="auto" w:line="240" w:before="120" w:after="0"/>
        <w:jc w:val="both"/>
        <w:rPr/>
      </w:pPr>
      <w:r>
        <w:rPr>
          <w:rFonts w:cs="Arial" w:ascii="Arial" w:hAnsi="Arial"/>
          <w:sz w:val="26"/>
          <w:szCs w:val="26"/>
          <w:lang w:val="ro-RO"/>
        </w:rPr>
        <w:tab/>
      </w:r>
      <w:r>
        <w:rPr>
          <w:rFonts w:cs="Arial" w:ascii="Arial" w:hAnsi="Arial"/>
          <w:b/>
          <w:bCs/>
          <w:sz w:val="26"/>
          <w:szCs w:val="26"/>
          <w:lang w:val="ro-RO"/>
        </w:rPr>
        <w:t>Art. V</w:t>
      </w:r>
      <w:r>
        <w:rPr>
          <w:rFonts w:cs="Arial" w:ascii="Arial" w:hAnsi="Arial"/>
          <w:sz w:val="26"/>
          <w:szCs w:val="26"/>
          <w:lang w:val="ro-RO"/>
        </w:rPr>
        <w:t xml:space="preserve"> - În anul 2022, numărul maxim de posturi care se finanţează din fonduri publice, pentru instituţiile şi autorităţile publice, indiferent de modul de finanţare şi subordonare, se stabileşte de către ordonatorii de credite astfel încât să se asigure plata integrală a drepturilor de natură salarială acordate în condiţiile legii, cu încadrarea în cheltuielile de personal aprobate prin buget.</w:t>
      </w:r>
    </w:p>
    <w:p>
      <w:pPr>
        <w:pStyle w:val="Normal"/>
        <w:spacing w:lineRule="auto" w:line="240" w:before="120" w:after="0"/>
        <w:ind w:firstLine="720"/>
        <w:jc w:val="both"/>
        <w:rPr/>
      </w:pPr>
      <w:r>
        <w:rPr>
          <w:rFonts w:cs="Arial" w:ascii="Arial" w:hAnsi="Arial"/>
          <w:b/>
          <w:bCs/>
          <w:sz w:val="26"/>
          <w:szCs w:val="26"/>
          <w:lang w:val="ro-RO"/>
        </w:rPr>
        <w:t>Art. VI</w:t>
      </w:r>
      <w:r>
        <w:rPr>
          <w:rFonts w:cs="Arial" w:ascii="Arial" w:hAnsi="Arial"/>
          <w:sz w:val="26"/>
          <w:szCs w:val="26"/>
          <w:lang w:val="ro-RO"/>
        </w:rPr>
        <w:t>- (1) Plata sumelor prevăzute prin hotărâri judecătoreşti având ca obiect acordarea unor drepturi de natură salarială stabilite în favoarea personalului din instituţiile şi autorităţile publice, devenite executorii în perioada 1 ianuarie - 31 decembrie 2022, se va realiza astfel:</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 xml:space="preserve"> a) în primul an de la data la care hotărârea judecătorească devine executorie se plăteşte 5% din valoarea titlului executoriu;</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b) în al doilea an de la data la care hotărârea judecătorească devine executorie se plăteşte 10% din valoarea titlului executoriu;</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c) în al treilea an de la data la care hotărârea judecătorească devine executorie se plăteşte 25% din valoarea titlului executoriu;</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d) în al patrulea an de la data la care hotărârea judecătorească devine executorie se plăteşte 25% din valoarea titlului executoriu;</w:t>
      </w:r>
    </w:p>
    <w:p>
      <w:pPr>
        <w:pStyle w:val="Normal"/>
        <w:spacing w:lineRule="auto" w:line="240" w:before="120" w:after="0"/>
        <w:jc w:val="both"/>
        <w:rPr/>
      </w:pPr>
      <w:r>
        <w:rPr>
          <w:rFonts w:cs="Arial" w:ascii="Arial" w:hAnsi="Arial"/>
          <w:sz w:val="26"/>
          <w:szCs w:val="26"/>
          <w:lang w:val="ro-RO"/>
        </w:rPr>
        <w:tab/>
        <w:t>e) în al cincilea an de la data la care hotărârea judecătorească devine executorie se plăteşte 35% din valoarea titlului executoriu.</w:t>
      </w:r>
    </w:p>
    <w:p>
      <w:pPr>
        <w:pStyle w:val="Normal"/>
        <w:spacing w:lineRule="auto" w:line="240" w:before="120" w:after="0"/>
        <w:jc w:val="both"/>
        <w:rPr/>
      </w:pPr>
      <w:r>
        <w:rPr>
          <w:rFonts w:cs="Arial" w:ascii="Arial" w:hAnsi="Arial"/>
          <w:sz w:val="26"/>
          <w:szCs w:val="26"/>
          <w:lang w:val="ro-RO"/>
        </w:rPr>
        <w:tab/>
        <w:t>(2) Procedura de plată eşalonată prevăzută la alin. (1) se aplică şi în ceea ce priveşte plata sumelor prevăzute prin hotărâri judecătoreşti devenite executorii în perioada 1 ianuarie - 31 decembrie 2022, având ca obiect acordarea unor drepturi reprezentând diurnă, cazare, hrană sau facilitarea legăturii cu familia, prevăzute de legislația privind participarea forţelor armate la misiuni şi operaţii în afara teritoriului statului român, pentru perioade anterioare anului 2020.</w:t>
      </w:r>
    </w:p>
    <w:p>
      <w:pPr>
        <w:pStyle w:val="Normal"/>
        <w:spacing w:lineRule="auto" w:line="240" w:before="120" w:after="0"/>
        <w:ind w:firstLine="720"/>
        <w:jc w:val="both"/>
        <w:rPr/>
      </w:pPr>
      <w:r>
        <w:rPr>
          <w:rFonts w:cs="Arial" w:ascii="Arial" w:hAnsi="Arial"/>
          <w:sz w:val="26"/>
          <w:szCs w:val="26"/>
          <w:lang w:val="ro-RO"/>
        </w:rPr>
        <w:t>(3) Procedura de plată eşalonată prevăzută la alin. (1) se aplică şi în ceea ce priveşte plata sumelor prevăzute prin hotărâri judecătoreşti devenite executorii în perioada 1 ianuarie - 31 decembrie 2022, având ca obiect acordarea de daune-interese moratorii sub forma dobânzii legale pentru plata eşalonată a sumelor prevăzute în titluri executorii având ca obiect acordarea unor drepturi salariale personalului din sectorul bugetar.</w:t>
      </w:r>
    </w:p>
    <w:p>
      <w:pPr>
        <w:pStyle w:val="Normal"/>
        <w:spacing w:lineRule="auto" w:line="240" w:before="120" w:after="0"/>
        <w:jc w:val="both"/>
        <w:rPr/>
      </w:pPr>
      <w:r>
        <w:rPr>
          <w:rFonts w:cs="Arial" w:ascii="Arial" w:hAnsi="Arial"/>
          <w:sz w:val="26"/>
          <w:szCs w:val="26"/>
          <w:lang w:val="ro-RO"/>
        </w:rPr>
        <w:tab/>
        <w:t>(4) În cursul termenului prevăzut la alin. (1), orice procedură de executare silită se suspendă de drept.</w:t>
      </w:r>
    </w:p>
    <w:p>
      <w:pPr>
        <w:pStyle w:val="Normal"/>
        <w:spacing w:lineRule="auto" w:line="240" w:before="120" w:after="0"/>
        <w:jc w:val="both"/>
        <w:rPr/>
      </w:pPr>
      <w:r>
        <w:rPr>
          <w:rFonts w:cs="Arial" w:ascii="Arial" w:hAnsi="Arial"/>
          <w:sz w:val="26"/>
          <w:szCs w:val="26"/>
          <w:lang w:val="ro-RO"/>
        </w:rPr>
        <w:tab/>
        <w:t>(5) Sumele prevăzute la alin. (1), plătite în temeiul prezentei ordonanţe de urgenţă, se actualizează cu indicele preţurilor de consum comunicat de Institutul Naţional de Statistică.</w:t>
      </w:r>
    </w:p>
    <w:p>
      <w:pPr>
        <w:pStyle w:val="Normal"/>
        <w:spacing w:lineRule="auto" w:line="240" w:before="120" w:after="0"/>
        <w:jc w:val="both"/>
        <w:rPr/>
      </w:pPr>
      <w:r>
        <w:rPr>
          <w:rFonts w:cs="Arial" w:ascii="Arial" w:hAnsi="Arial"/>
          <w:sz w:val="26"/>
          <w:szCs w:val="26"/>
          <w:lang w:val="ro-RO"/>
        </w:rPr>
        <w:tab/>
        <w:t>(6) La sumele actualizate în condiţiile alin. (4) se acordă dobânda legală remuneratorie, calculată de la data la care hotărârea judecătorească a rămas executorie.</w:t>
      </w:r>
    </w:p>
    <w:p>
      <w:pPr>
        <w:pStyle w:val="Normal"/>
        <w:spacing w:lineRule="auto" w:line="240" w:before="120" w:after="0"/>
        <w:ind w:firstLine="720"/>
        <w:jc w:val="both"/>
        <w:rPr/>
      </w:pPr>
      <w:r>
        <w:rPr>
          <w:rFonts w:cs="Arial" w:ascii="Arial" w:hAnsi="Arial"/>
          <w:sz w:val="26"/>
          <w:szCs w:val="26"/>
          <w:lang w:val="ro-RO"/>
        </w:rPr>
        <w:t>(7) Prin ordin al ordonatorilor principali de credite va fi stabilită procedura de efectuare a plăţii titlurilor executorii, cu respectarea termenelor prevăzute la alin. (1).</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pPr>
      <w:r>
        <w:rPr>
          <w:rFonts w:cs="Arial" w:ascii="Arial" w:hAnsi="Arial"/>
          <w:b/>
          <w:bCs/>
          <w:sz w:val="26"/>
          <w:szCs w:val="26"/>
          <w:lang w:val="ro-RO"/>
        </w:rPr>
        <w:t>Art. VII</w:t>
      </w:r>
      <w:r>
        <w:rPr>
          <w:rFonts w:cs="Arial" w:ascii="Arial" w:hAnsi="Arial"/>
          <w:sz w:val="26"/>
          <w:szCs w:val="26"/>
          <w:lang w:val="ro-RO"/>
        </w:rPr>
        <w:t xml:space="preserve"> - (1) În anul 2022 nu se acordă ajutoarele sau, după caz, indemnizaţiile la ieşirea la pensie, retragere, încetarea raporturilor de serviciu ori la trecerea în rezervă.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Prevederile alin. (1) nu se aplică în situaţia încetării raporturilor de muncă sau serviciu ca urmare a decesului angajatului.</w:t>
      </w:r>
    </w:p>
    <w:p>
      <w:pPr>
        <w:pStyle w:val="Normal"/>
        <w:spacing w:lineRule="auto" w:line="240" w:before="120" w:after="0"/>
        <w:ind w:firstLine="720"/>
        <w:jc w:val="both"/>
        <w:rPr>
          <w:rFonts w:ascii="Arial" w:hAnsi="Arial" w:cs="Arial"/>
          <w:b/>
          <w:b/>
          <w:bCs/>
          <w:sz w:val="26"/>
          <w:szCs w:val="26"/>
          <w:lang w:val="ro-RO"/>
        </w:rPr>
      </w:pPr>
      <w:r>
        <w:rPr>
          <w:rFonts w:cs="Arial" w:ascii="Arial" w:hAnsi="Arial"/>
          <w:b/>
          <w:bCs/>
          <w:sz w:val="26"/>
          <w:szCs w:val="26"/>
          <w:lang w:val="ro-RO"/>
        </w:rPr>
      </w:r>
    </w:p>
    <w:p>
      <w:pPr>
        <w:pStyle w:val="Normal"/>
        <w:spacing w:lineRule="auto" w:line="240" w:before="120" w:after="0"/>
        <w:ind w:firstLine="720"/>
        <w:jc w:val="both"/>
        <w:rPr>
          <w:rFonts w:ascii="Arial" w:hAnsi="Arial" w:cs="Arial"/>
          <w:sz w:val="26"/>
          <w:szCs w:val="26"/>
          <w:lang w:val="ro-RO"/>
        </w:rPr>
      </w:pPr>
      <w:r>
        <w:rPr>
          <w:rFonts w:cs="Arial" w:ascii="Arial" w:hAnsi="Arial"/>
          <w:b/>
          <w:bCs/>
          <w:sz w:val="26"/>
          <w:szCs w:val="26"/>
          <w:lang w:val="ro-RO"/>
        </w:rPr>
        <w:t xml:space="preserve">Art. VIII </w:t>
      </w:r>
      <w:r>
        <w:rPr>
          <w:rFonts w:cs="Arial" w:ascii="Arial" w:hAnsi="Arial"/>
          <w:sz w:val="26"/>
          <w:szCs w:val="26"/>
          <w:lang w:val="ro-RO"/>
        </w:rPr>
        <w:t>– Articolul 42 din Legea nr. 195/2020 privind statutul personalului feroviar, publicată în Monitorul Oficial al României, Partea I, nr. 820 din 7 septembrie 2020, se modifică și va avea următorul cuprins:</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Art. 42 - Prezenta lege intră în vigoare la data de 1 ianuarie 2023.”</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r>
    </w:p>
    <w:p>
      <w:pPr>
        <w:pStyle w:val="Normal"/>
        <w:spacing w:lineRule="auto" w:line="240" w:before="0" w:after="0"/>
        <w:ind w:firstLine="720"/>
        <w:jc w:val="both"/>
        <w:rPr/>
      </w:pPr>
      <w:r>
        <w:rPr>
          <w:rFonts w:cs="Arial" w:ascii="Arial" w:hAnsi="Arial"/>
          <w:b/>
          <w:bCs/>
          <w:sz w:val="26"/>
          <w:szCs w:val="26"/>
          <w:lang w:val="ro-RO"/>
        </w:rPr>
        <w:t>ART. IX</w:t>
      </w:r>
      <w:r>
        <w:rPr>
          <w:rFonts w:cs="Arial" w:ascii="Arial" w:hAnsi="Arial"/>
          <w:sz w:val="26"/>
          <w:szCs w:val="26"/>
          <w:lang w:val="ro-RO"/>
        </w:rPr>
        <w:t xml:space="preserve"> - (1) În anul 2022 se menţin în plată la nivelul acordat/cuvenit pentru luna decembrie 2021 următoarele drepturi:</w:t>
      </w:r>
    </w:p>
    <w:p>
      <w:pPr>
        <w:pStyle w:val="ListParagraph"/>
        <w:spacing w:lineRule="auto" w:line="240" w:before="0" w:after="0"/>
        <w:ind w:left="0" w:firstLine="720"/>
        <w:contextualSpacing/>
        <w:jc w:val="both"/>
        <w:rPr/>
      </w:pPr>
      <w:r>
        <w:rPr>
          <w:rStyle w:val="Slitbdy"/>
          <w:rFonts w:cs="Arial" w:ascii="Arial" w:hAnsi="Arial"/>
          <w:sz w:val="26"/>
          <w:szCs w:val="26"/>
          <w:shd w:fill="FFFFFF" w:val="clear"/>
          <w:lang w:val="ro-RO"/>
        </w:rPr>
        <w:t>a) indemnizațiile prevăzute de </w:t>
      </w:r>
      <w:hyperlink r:id="rId2">
        <w:r>
          <w:rPr>
            <w:rStyle w:val="InternetLink"/>
            <w:rFonts w:cs="Arial" w:ascii="Arial" w:hAnsi="Arial"/>
            <w:color w:val="auto"/>
            <w:sz w:val="26"/>
            <w:szCs w:val="26"/>
            <w:highlight w:val="white"/>
            <w:u w:val="none"/>
            <w:lang w:val="ro-RO"/>
          </w:rPr>
          <w:t>Decretul-Lege nr. 118/1990</w:t>
        </w:r>
      </w:hyperlink>
      <w:r>
        <w:rPr>
          <w:rStyle w:val="Slitbdy"/>
          <w:rFonts w:cs="Arial" w:ascii="Arial" w:hAnsi="Arial"/>
          <w:sz w:val="26"/>
          <w:szCs w:val="26"/>
          <w:shd w:fill="FFFFFF" w:val="clear"/>
          <w:lang w:val="ro-RO"/>
        </w:rPr>
        <w:t xml:space="preserve"> privind acordarea unor drepturi persoanelor persecutate din motive politice de dictatura instaurată cu începere de la 6 martie 1945, precum și celor deportate în străinătate ori constituite în prizonieri, republicat; </w:t>
      </w:r>
    </w:p>
    <w:p>
      <w:pPr>
        <w:pStyle w:val="Normal"/>
        <w:spacing w:lineRule="auto" w:line="240" w:before="0" w:after="0"/>
        <w:ind w:firstLine="720"/>
        <w:jc w:val="both"/>
        <w:rPr/>
      </w:pPr>
      <w:r>
        <w:rPr>
          <w:rStyle w:val="Slitttl"/>
          <w:rFonts w:cs="Arial" w:ascii="Arial" w:hAnsi="Arial"/>
          <w:sz w:val="26"/>
          <w:szCs w:val="26"/>
          <w:shd w:fill="FFFFFF" w:val="clear"/>
          <w:lang w:val="ro-RO"/>
        </w:rPr>
        <w:t>b)</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drepturile prevăzute de </w:t>
      </w:r>
      <w:hyperlink r:id="rId3">
        <w:r>
          <w:rPr>
            <w:rStyle w:val="InternetLink"/>
            <w:rFonts w:cs="Arial" w:ascii="Arial" w:hAnsi="Arial"/>
            <w:color w:val="auto"/>
            <w:sz w:val="26"/>
            <w:szCs w:val="26"/>
            <w:highlight w:val="white"/>
            <w:u w:val="none"/>
            <w:lang w:val="ro-RO"/>
          </w:rPr>
          <w:t>Legea nr. 49/1991</w:t>
        </w:r>
      </w:hyperlink>
      <w:r>
        <w:rPr>
          <w:rStyle w:val="Slitbdy"/>
          <w:rFonts w:cs="Arial" w:ascii="Arial" w:hAnsi="Arial"/>
          <w:sz w:val="26"/>
          <w:szCs w:val="26"/>
          <w:shd w:fill="FFFFFF" w:val="clear"/>
          <w:lang w:val="ro-RO"/>
        </w:rPr>
        <w:t xml:space="preserve"> privind acordarea de indemnizații și sporuri invalizilor, veteranilor și văduvelor de război, cu modificările și completările ulterioare, </w:t>
      </w:r>
    </w:p>
    <w:p>
      <w:pPr>
        <w:pStyle w:val="Normal"/>
        <w:spacing w:lineRule="auto" w:line="240" w:before="0" w:after="0"/>
        <w:ind w:firstLine="720"/>
        <w:jc w:val="both"/>
        <w:rPr/>
      </w:pPr>
      <w:r>
        <w:rPr>
          <w:rStyle w:val="Slitttl"/>
          <w:rFonts w:cs="Arial" w:ascii="Arial" w:hAnsi="Arial"/>
          <w:sz w:val="26"/>
          <w:szCs w:val="26"/>
          <w:shd w:fill="FFFFFF" w:val="clear"/>
          <w:lang w:val="ro-RO"/>
        </w:rPr>
        <w:t>c)</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drepturile prevăzute de </w:t>
      </w:r>
      <w:hyperlink r:id="rId4">
        <w:r>
          <w:rPr>
            <w:rStyle w:val="InternetLink"/>
            <w:rFonts w:cs="Arial" w:ascii="Arial" w:hAnsi="Arial"/>
            <w:color w:val="auto"/>
            <w:sz w:val="26"/>
            <w:szCs w:val="26"/>
            <w:highlight w:val="white"/>
            <w:u w:val="none"/>
            <w:lang w:val="ro-RO"/>
          </w:rPr>
          <w:t>Legea nr. 44/1994</w:t>
        </w:r>
      </w:hyperlink>
      <w:r>
        <w:rPr>
          <w:rStyle w:val="Slitbdy"/>
          <w:rFonts w:cs="Arial" w:ascii="Arial" w:hAnsi="Arial"/>
          <w:sz w:val="26"/>
          <w:szCs w:val="26"/>
          <w:shd w:fill="FFFFFF" w:val="clear"/>
          <w:lang w:val="ro-RO"/>
        </w:rPr>
        <w:t> privind veteranii de război, precum și unele drepturi ale invalizilor și văduvelor de război, republicată, cu modificările și completările ulterioare,</w:t>
      </w:r>
    </w:p>
    <w:p>
      <w:pPr>
        <w:pStyle w:val="Normal"/>
        <w:spacing w:lineRule="auto" w:line="240" w:before="0" w:after="0"/>
        <w:ind w:firstLine="720"/>
        <w:jc w:val="both"/>
        <w:rPr/>
      </w:pPr>
      <w:r>
        <w:rPr>
          <w:rStyle w:val="Slitttl"/>
          <w:rFonts w:cs="Arial" w:ascii="Arial" w:hAnsi="Arial"/>
          <w:sz w:val="26"/>
          <w:szCs w:val="26"/>
          <w:shd w:fill="FFFFFF" w:val="clear"/>
          <w:lang w:val="ro-RO"/>
        </w:rPr>
        <w:t>d)</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drepturile prevăzute de </w:t>
      </w:r>
      <w:hyperlink r:id="rId5">
        <w:r>
          <w:rPr>
            <w:rStyle w:val="InternetLink"/>
            <w:rFonts w:cs="Arial" w:ascii="Arial" w:hAnsi="Arial"/>
            <w:color w:val="auto"/>
            <w:sz w:val="26"/>
            <w:szCs w:val="26"/>
            <w:highlight w:val="white"/>
            <w:u w:val="none"/>
            <w:lang w:val="ro-RO"/>
          </w:rPr>
          <w:t>Legea nr. 49/1999</w:t>
        </w:r>
      </w:hyperlink>
      <w:r>
        <w:rPr>
          <w:rStyle w:val="Slitbdy"/>
          <w:rFonts w:cs="Arial" w:ascii="Arial" w:hAnsi="Arial"/>
          <w:sz w:val="26"/>
          <w:szCs w:val="26"/>
          <w:shd w:fill="FFFFFF" w:val="clear"/>
          <w:lang w:val="ro-RO"/>
        </w:rPr>
        <w:t> privind pensiile I.O.V.R., cu modificările și completările ulterioare;</w:t>
      </w:r>
    </w:p>
    <w:p>
      <w:pPr>
        <w:pStyle w:val="Normal"/>
        <w:spacing w:lineRule="auto" w:line="240" w:before="0" w:after="0"/>
        <w:ind w:firstLine="720"/>
        <w:jc w:val="both"/>
        <w:rPr/>
      </w:pPr>
      <w:r>
        <w:rPr>
          <w:rFonts w:cs="Arial" w:ascii="Arial" w:hAnsi="Arial"/>
          <w:iCs/>
          <w:sz w:val="26"/>
          <w:szCs w:val="26"/>
          <w:shd w:fill="FFFFFF" w:val="clear"/>
          <w:lang w:val="ro-RO"/>
        </w:rPr>
        <w:t xml:space="preserve">e) indemnizațiile prevăzute de </w:t>
      </w:r>
      <w:hyperlink r:id="rId6">
        <w:r>
          <w:rPr>
            <w:rStyle w:val="InternetLink"/>
            <w:rFonts w:cs="Arial" w:ascii="Arial" w:hAnsi="Arial"/>
            <w:iCs/>
            <w:color w:val="auto"/>
            <w:sz w:val="26"/>
            <w:szCs w:val="26"/>
            <w:highlight w:val="white"/>
            <w:u w:val="none"/>
            <w:lang w:val="ro-RO"/>
          </w:rPr>
          <w:t>Ordonanța Guvernului nr. 105/1999</w:t>
        </w:r>
      </w:hyperlink>
      <w:r>
        <w:rPr>
          <w:rFonts w:cs="Arial" w:ascii="Arial" w:hAnsi="Arial"/>
          <w:iCs/>
          <w:sz w:val="26"/>
          <w:szCs w:val="26"/>
          <w:shd w:fill="FFFFFF" w:val="clear"/>
          <w:lang w:val="ro-RO"/>
        </w:rPr>
        <w:t xml:space="preserve"> privind acordarea unor drepturi persoanelor persecutate de către regimurile instaurate în România cu începere de la 6 septembrie 1940 până la 6 martie 1945 din motive etnice, republicată, cu modificările și completările ulterioare;</w:t>
      </w:r>
    </w:p>
    <w:p>
      <w:pPr>
        <w:pStyle w:val="Normal"/>
        <w:spacing w:lineRule="auto" w:line="240" w:before="0" w:after="0"/>
        <w:jc w:val="both"/>
        <w:rPr/>
      </w:pPr>
      <w:r>
        <w:rPr>
          <w:rStyle w:val="Slitttl"/>
          <w:rFonts w:cs="Arial" w:ascii="Arial" w:hAnsi="Arial"/>
          <w:sz w:val="26"/>
          <w:szCs w:val="26"/>
          <w:shd w:fill="FFFFFF" w:val="clear"/>
          <w:lang w:val="ro-RO"/>
        </w:rPr>
        <w:tab/>
        <w:t>f)</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indemnizațiile prevăzute de </w:t>
      </w:r>
      <w:hyperlink r:id="rId7">
        <w:r>
          <w:rPr>
            <w:rStyle w:val="InternetLink"/>
            <w:rFonts w:cs="Arial" w:ascii="Arial" w:hAnsi="Arial"/>
            <w:color w:val="auto"/>
            <w:sz w:val="26"/>
            <w:szCs w:val="26"/>
            <w:highlight w:val="white"/>
            <w:u w:val="none"/>
            <w:lang w:val="ro-RO"/>
          </w:rPr>
          <w:t>Legea nr. 309/2002</w:t>
        </w:r>
      </w:hyperlink>
      <w:r>
        <w:rPr>
          <w:rStyle w:val="Slitbdy"/>
          <w:rFonts w:cs="Arial" w:ascii="Arial" w:hAnsi="Arial"/>
          <w:sz w:val="26"/>
          <w:szCs w:val="26"/>
          <w:shd w:fill="FFFFFF" w:val="clear"/>
          <w:lang w:val="ro-RO"/>
        </w:rPr>
        <w:t> privind recunoașterea și acordarea unor drepturi persoanelor care au efectuat stagiul militar în cadrul Direcției Generale a Serviciului Muncii în perioada 1950-1961, cu modificările și completările ulterioare;</w:t>
      </w:r>
    </w:p>
    <w:p>
      <w:pPr>
        <w:pStyle w:val="Normal"/>
        <w:spacing w:lineRule="auto" w:line="240" w:before="0" w:after="0"/>
        <w:ind w:firstLine="720"/>
        <w:jc w:val="both"/>
        <w:rPr/>
      </w:pPr>
      <w:r>
        <w:rPr>
          <w:rStyle w:val="Slitttl"/>
          <w:rFonts w:cs="Arial" w:ascii="Arial" w:hAnsi="Arial"/>
          <w:sz w:val="26"/>
          <w:szCs w:val="26"/>
          <w:shd w:fill="FFFFFF" w:val="clear"/>
          <w:lang w:val="ro-RO"/>
        </w:rPr>
        <w:t>g)</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indemnizația prevăzută de </w:t>
      </w:r>
      <w:hyperlink r:id="rId8">
        <w:r>
          <w:rPr>
            <w:rStyle w:val="InternetLink"/>
            <w:rFonts w:cs="Arial" w:ascii="Arial" w:hAnsi="Arial"/>
            <w:color w:val="auto"/>
            <w:sz w:val="26"/>
            <w:szCs w:val="26"/>
            <w:highlight w:val="white"/>
            <w:u w:val="none"/>
            <w:lang w:val="ro-RO"/>
          </w:rPr>
          <w:t>Legea nr. 109/2005</w:t>
        </w:r>
      </w:hyperlink>
      <w:r>
        <w:rPr>
          <w:rStyle w:val="Slitbdy"/>
          <w:rFonts w:cs="Arial" w:ascii="Arial" w:hAnsi="Arial"/>
          <w:sz w:val="26"/>
          <w:szCs w:val="26"/>
          <w:shd w:fill="FFFFFF" w:val="clear"/>
          <w:lang w:val="ro-RO"/>
        </w:rPr>
        <w:t> privind instituirea indemnizației pentru activitatea de liber profesionist a artiștilor interpreți sau executanți din România, republicată;</w:t>
      </w:r>
    </w:p>
    <w:p>
      <w:pPr>
        <w:pStyle w:val="Normal"/>
        <w:spacing w:lineRule="auto" w:line="240" w:before="0" w:after="0"/>
        <w:ind w:firstLine="720"/>
        <w:jc w:val="both"/>
        <w:rPr/>
      </w:pPr>
      <w:r>
        <w:rPr>
          <w:rStyle w:val="Slitttl"/>
          <w:rFonts w:cs="Arial" w:ascii="Arial" w:hAnsi="Arial"/>
          <w:sz w:val="26"/>
          <w:szCs w:val="26"/>
          <w:shd w:fill="FFFFFF" w:val="clear"/>
          <w:lang w:val="ro-RO"/>
        </w:rPr>
        <w:t>h)</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 xml:space="preserve">cuantumul indemnizației președintelui </w:t>
      </w:r>
      <w:r>
        <w:rPr>
          <w:rFonts w:cs="Arial" w:ascii="Arial" w:hAnsi="Arial"/>
          <w:sz w:val="26"/>
          <w:szCs w:val="26"/>
          <w:shd w:fill="FFFFFF" w:val="clear"/>
          <w:lang w:val="ro-RO"/>
        </w:rPr>
        <w:t xml:space="preserve">Consiliului Național al Organizațiilor de Pensionari și al Persoanelor Vârstnice  </w:t>
      </w:r>
      <w:r>
        <w:rPr>
          <w:rStyle w:val="Slitbdy"/>
          <w:rFonts w:cs="Arial" w:ascii="Arial" w:hAnsi="Arial"/>
          <w:sz w:val="26"/>
          <w:szCs w:val="26"/>
          <w:shd w:fill="FFFFFF" w:val="clear"/>
          <w:lang w:val="ro-RO"/>
        </w:rPr>
        <w:t>prevăzută de </w:t>
      </w:r>
      <w:hyperlink r:id="rId9">
        <w:r>
          <w:rPr>
            <w:rStyle w:val="InternetLink"/>
            <w:rFonts w:cs="Arial" w:ascii="Arial" w:hAnsi="Arial"/>
            <w:color w:val="auto"/>
            <w:sz w:val="26"/>
            <w:szCs w:val="26"/>
            <w:highlight w:val="white"/>
            <w:u w:val="none"/>
            <w:lang w:val="ro-RO"/>
          </w:rPr>
          <w:t>Legea nr. 16/2000</w:t>
        </w:r>
      </w:hyperlink>
      <w:r>
        <w:rPr>
          <w:rStyle w:val="InternetLink"/>
          <w:rFonts w:cs="Arial" w:ascii="Arial" w:hAnsi="Arial"/>
          <w:color w:val="auto"/>
          <w:sz w:val="26"/>
          <w:szCs w:val="26"/>
          <w:highlight w:val="white"/>
          <w:u w:val="none"/>
          <w:lang w:val="ro-RO"/>
        </w:rPr>
        <w:t xml:space="preserve"> </w:t>
      </w:r>
      <w:r>
        <w:rPr>
          <w:rStyle w:val="Slitbdy"/>
          <w:rFonts w:cs="Arial" w:ascii="Arial" w:hAnsi="Arial"/>
          <w:sz w:val="26"/>
          <w:szCs w:val="26"/>
          <w:shd w:fill="FFFFFF" w:val="clear"/>
          <w:lang w:val="ro-RO"/>
        </w:rPr>
        <w:t xml:space="preserve">privind </w:t>
      </w:r>
      <w:r>
        <w:rPr>
          <w:rFonts w:cs="Arial" w:ascii="Arial" w:hAnsi="Arial"/>
          <w:sz w:val="26"/>
          <w:szCs w:val="26"/>
          <w:shd w:fill="FFFFFF" w:val="clear"/>
          <w:lang w:val="ro-RO"/>
        </w:rPr>
        <w:t>organizarea și funcționarea Consiliului Național al Organizațiilor de Pensionari și al Persoanelor Vârstnice, republicată;</w:t>
      </w:r>
    </w:p>
    <w:p>
      <w:pPr>
        <w:pStyle w:val="Normal"/>
        <w:spacing w:lineRule="auto" w:line="240" w:before="0" w:after="0"/>
        <w:ind w:firstLine="720"/>
        <w:jc w:val="both"/>
        <w:rPr/>
      </w:pPr>
      <w:r>
        <w:rPr>
          <w:rStyle w:val="Slitttl"/>
          <w:rFonts w:cs="Arial" w:ascii="Arial" w:hAnsi="Arial"/>
          <w:sz w:val="26"/>
          <w:szCs w:val="26"/>
          <w:shd w:fill="FFFFFF" w:val="clear"/>
          <w:lang w:val="ro-RO"/>
        </w:rPr>
        <w:t>i)</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cuantumul indemnizațiilor acordate membrilor Academiei Române, membrilor Academiei Oamenilor de Știință din România, membrilor Academiei de Științe Medicale din România, membrilor Academiei de Științe Agricole și Silvice „Gheorghe Ionescu-Șișești“ și membrilor Academiei de Științe Tehnice din România;</w:t>
      </w:r>
    </w:p>
    <w:p>
      <w:pPr>
        <w:pStyle w:val="Normal"/>
        <w:spacing w:lineRule="auto" w:line="240" w:before="0" w:after="0"/>
        <w:ind w:firstLine="720"/>
        <w:jc w:val="both"/>
        <w:rPr/>
      </w:pPr>
      <w:r>
        <w:rPr>
          <w:rStyle w:val="Slitttl"/>
          <w:rFonts w:cs="Arial" w:ascii="Arial" w:hAnsi="Arial"/>
          <w:sz w:val="26"/>
          <w:szCs w:val="26"/>
          <w:shd w:fill="FFFFFF" w:val="clear"/>
          <w:lang w:val="ro-RO"/>
        </w:rPr>
        <w:t>j)</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cuantumul sprijinului material acordat urmașilor membrilor Academiei Române și urmașilor membrilor Academiei Oamenilor de Știință din România;</w:t>
      </w:r>
    </w:p>
    <w:p>
      <w:pPr>
        <w:pStyle w:val="Normal"/>
        <w:spacing w:lineRule="auto" w:line="240" w:before="0" w:after="0"/>
        <w:ind w:firstLine="720"/>
        <w:jc w:val="both"/>
        <w:rPr/>
      </w:pPr>
      <w:r>
        <w:rPr>
          <w:rStyle w:val="Slitttl"/>
          <w:rFonts w:cs="Arial" w:ascii="Arial" w:hAnsi="Arial"/>
          <w:sz w:val="26"/>
          <w:szCs w:val="26"/>
          <w:shd w:fill="FFFFFF" w:val="clear"/>
          <w:lang w:val="ro-RO"/>
        </w:rPr>
        <w:t>k)</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ajutorul lunar pentru soțul supraviețuitor, acordat în temeiul </w:t>
      </w:r>
      <w:hyperlink r:id="rId10">
        <w:r>
          <w:rPr>
            <w:rStyle w:val="InternetLink"/>
            <w:rFonts w:cs="Arial" w:ascii="Arial" w:hAnsi="Arial"/>
            <w:color w:val="auto"/>
            <w:sz w:val="26"/>
            <w:szCs w:val="26"/>
            <w:highlight w:val="white"/>
            <w:u w:val="none"/>
            <w:lang w:val="ro-RO"/>
          </w:rPr>
          <w:t>Legii nr. 578/2004</w:t>
        </w:r>
      </w:hyperlink>
      <w:r>
        <w:rPr>
          <w:rStyle w:val="Slitbdy"/>
          <w:rFonts w:cs="Arial" w:ascii="Arial" w:hAnsi="Arial"/>
          <w:sz w:val="26"/>
          <w:szCs w:val="26"/>
          <w:shd w:fill="FFFFFF" w:val="clear"/>
          <w:lang w:val="ro-RO"/>
        </w:rPr>
        <w:t> privind acordarea unui ajutor lunar pentru soțul supraviețuitor, cu modificările ulterioare;</w:t>
      </w:r>
    </w:p>
    <w:p>
      <w:pPr>
        <w:pStyle w:val="Normal"/>
        <w:spacing w:lineRule="auto" w:line="240" w:before="0" w:after="0"/>
        <w:ind w:firstLine="720"/>
        <w:jc w:val="both"/>
        <w:rPr/>
      </w:pPr>
      <w:r>
        <w:rPr>
          <w:rStyle w:val="Slitttl"/>
          <w:rFonts w:cs="Arial" w:ascii="Arial" w:hAnsi="Arial"/>
          <w:sz w:val="26"/>
          <w:szCs w:val="26"/>
          <w:shd w:fill="FFFFFF" w:val="clear"/>
          <w:lang w:val="ro-RO"/>
        </w:rPr>
        <w:t>l)</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indemnizațiile reparatorii lunare, potrivit </w:t>
      </w:r>
      <w:hyperlink r:id="rId11">
        <w:r>
          <w:rPr>
            <w:rStyle w:val="InternetLink"/>
            <w:rFonts w:cs="Arial" w:ascii="Arial" w:hAnsi="Arial"/>
            <w:color w:val="auto"/>
            <w:sz w:val="26"/>
            <w:szCs w:val="26"/>
            <w:highlight w:val="white"/>
            <w:u w:val="none"/>
            <w:lang w:val="ro-RO"/>
          </w:rPr>
          <w:t>art. 4 alin. (2)</w:t>
        </w:r>
      </w:hyperlink>
      <w:r>
        <w:rPr>
          <w:rStyle w:val="Slitbdy"/>
          <w:rFonts w:cs="Arial" w:ascii="Arial" w:hAnsi="Arial"/>
          <w:sz w:val="26"/>
          <w:szCs w:val="26"/>
          <w:shd w:fill="FFFFFF" w:val="clear"/>
          <w:lang w:val="ro-RO"/>
        </w:rPr>
        <w:t> și </w:t>
      </w:r>
      <w:hyperlink r:id="rId12">
        <w:r>
          <w:rPr>
            <w:rStyle w:val="InternetLink"/>
            <w:rFonts w:cs="Arial" w:ascii="Arial" w:hAnsi="Arial"/>
            <w:color w:val="auto"/>
            <w:sz w:val="26"/>
            <w:szCs w:val="26"/>
            <w:highlight w:val="white"/>
            <w:u w:val="none"/>
            <w:lang w:val="ro-RO"/>
          </w:rPr>
          <w:t>art. 7 din Legea nr. 226/2011</w:t>
        </w:r>
      </w:hyperlink>
      <w:r>
        <w:rPr>
          <w:rStyle w:val="Slitbdy"/>
          <w:rFonts w:cs="Arial" w:ascii="Arial" w:hAnsi="Arial"/>
          <w:sz w:val="26"/>
          <w:szCs w:val="26"/>
          <w:shd w:fill="FFFFFF" w:val="clear"/>
          <w:lang w:val="ro-RO"/>
        </w:rPr>
        <w:t> privind reparațiile morale și materiale pentru fostele cadre militare active, îndepărtate abuziv din armată în perioada 23 august 1944-31 decembrie 1961, cu modificările și completările ulterioare;</w:t>
      </w:r>
    </w:p>
    <w:p>
      <w:pPr>
        <w:pStyle w:val="Normal"/>
        <w:spacing w:lineRule="auto" w:line="240" w:before="0" w:after="0"/>
        <w:ind w:firstLine="720"/>
        <w:jc w:val="both"/>
        <w:rPr/>
      </w:pPr>
      <w:r>
        <w:rPr>
          <w:rStyle w:val="Slitttl"/>
          <w:rFonts w:cs="Arial" w:ascii="Arial" w:hAnsi="Arial"/>
          <w:sz w:val="26"/>
          <w:szCs w:val="26"/>
          <w:shd w:fill="FFFFFF" w:val="clear"/>
          <w:lang w:val="ro-RO"/>
        </w:rPr>
        <w:t>m)</w:t>
      </w:r>
      <w:r>
        <w:rPr>
          <w:rStyle w:val="Slit"/>
          <w:rFonts w:cs="Arial" w:ascii="Arial" w:hAnsi="Arial"/>
          <w:sz w:val="26"/>
          <w:szCs w:val="26"/>
          <w:bdr w:val="dotted" w:sz="6" w:space="0" w:color="FEFEFE"/>
          <w:shd w:fill="FFFFFF" w:val="clear"/>
          <w:lang w:val="ro-RO"/>
        </w:rPr>
        <w:t> </w:t>
      </w:r>
      <w:r>
        <w:rPr>
          <w:rStyle w:val="Slitbdy"/>
          <w:rFonts w:cs="Arial" w:ascii="Arial" w:hAnsi="Arial"/>
          <w:sz w:val="26"/>
          <w:szCs w:val="26"/>
          <w:shd w:fill="FFFFFF" w:val="clear"/>
          <w:lang w:val="ro-RO"/>
        </w:rPr>
        <w:t>indemnizațiile și bursele prevăzute Legea nr. 168/2020 pentru recunoaşterea meritelor personalului participant la acţiuni militare, misiuni şi operaţii pe teritoriul sau în afara teritoriului statului român şi acordarea unor drepturi acestuia, familiei acestuia şi urmaşilor celui decedat, cu modificările și completările ulterioare.</w:t>
      </w:r>
    </w:p>
    <w:p>
      <w:pPr>
        <w:pStyle w:val="Normal"/>
        <w:spacing w:lineRule="auto" w:line="240" w:before="0" w:after="0"/>
        <w:ind w:firstLine="720"/>
        <w:jc w:val="both"/>
        <w:rPr/>
      </w:pPr>
      <w:r>
        <w:rPr>
          <w:rStyle w:val="Salnttl"/>
          <w:rFonts w:cs="Arial" w:ascii="Arial" w:hAnsi="Arial"/>
          <w:sz w:val="26"/>
          <w:szCs w:val="26"/>
          <w:shd w:fill="FFFFFF" w:val="clear"/>
          <w:lang w:val="ro-RO"/>
        </w:rPr>
        <w:t>(2)</w:t>
      </w:r>
      <w:r>
        <w:rPr>
          <w:rStyle w:val="Saln"/>
          <w:rFonts w:cs="Arial" w:ascii="Arial" w:hAnsi="Arial"/>
          <w:sz w:val="26"/>
          <w:szCs w:val="26"/>
          <w:shd w:fill="FFFFFF" w:val="clear"/>
          <w:lang w:val="ro-RO"/>
        </w:rPr>
        <w:t> </w:t>
      </w:r>
      <w:r>
        <w:rPr>
          <w:rStyle w:val="Salnbdy"/>
          <w:rFonts w:cs="Arial" w:ascii="Arial" w:hAnsi="Arial"/>
          <w:sz w:val="26"/>
          <w:szCs w:val="26"/>
          <w:shd w:fill="FFFFFF" w:val="clear"/>
          <w:lang w:val="ro-RO"/>
        </w:rPr>
        <w:t>În anul 2022 indemnizațiile stabilite în baza Legii recunoștinței pentru victoria Revoluției Române din Decembrie 1989, pentru revolta muncitorească anticomunistă de la Brașov din noiembrie 1987 și pentru revolta muncitorească anticomunistă din Valea Jiului-Lupeni - august 1977 </w:t>
      </w:r>
      <w:hyperlink r:id="rId13">
        <w:r>
          <w:rPr>
            <w:rStyle w:val="InternetLink"/>
            <w:rFonts w:cs="Arial" w:ascii="Arial" w:hAnsi="Arial"/>
            <w:color w:val="auto"/>
            <w:sz w:val="26"/>
            <w:szCs w:val="26"/>
            <w:highlight w:val="white"/>
            <w:u w:val="none"/>
            <w:lang w:val="ro-RO"/>
          </w:rPr>
          <w:t>nr. 341/2004, </w:t>
        </w:r>
      </w:hyperlink>
      <w:r>
        <w:rPr>
          <w:rStyle w:val="Salnbdy"/>
          <w:rFonts w:cs="Arial" w:ascii="Arial" w:hAnsi="Arial"/>
          <w:sz w:val="26"/>
          <w:szCs w:val="26"/>
          <w:shd w:fill="FFFFFF" w:val="clear"/>
          <w:lang w:val="ro-RO"/>
        </w:rPr>
        <w:t>cu modificările și completările ulterioare, se acordă în cuantumul cuvenit sau aflat în plată în luna decembrie 2021.</w:t>
      </w:r>
    </w:p>
    <w:p>
      <w:pPr>
        <w:pStyle w:val="Normal"/>
        <w:spacing w:lineRule="auto" w:line="240" w:before="0" w:after="0"/>
        <w:jc w:val="both"/>
        <w:rPr>
          <w:rStyle w:val="Salnbdy"/>
          <w:rFonts w:ascii="Arial" w:hAnsi="Arial" w:cs="Arial"/>
          <w:sz w:val="26"/>
          <w:szCs w:val="26"/>
          <w:highlight w:val="white"/>
          <w:lang w:val="ro-RO"/>
        </w:rPr>
      </w:pPr>
      <w:r>
        <w:rPr>
          <w:rFonts w:cs="Arial" w:ascii="Arial" w:hAnsi="Arial"/>
          <w:sz w:val="26"/>
          <w:szCs w:val="26"/>
          <w:highlight w:val="white"/>
          <w:lang w:val="ro-RO"/>
        </w:rPr>
      </w:r>
    </w:p>
    <w:p>
      <w:pPr>
        <w:pStyle w:val="Normal"/>
        <w:spacing w:lineRule="auto" w:line="240" w:before="0" w:after="0"/>
        <w:jc w:val="both"/>
        <w:rPr/>
      </w:pPr>
      <w:r>
        <w:rPr>
          <w:rFonts w:cs="Arial" w:ascii="Arial" w:hAnsi="Arial"/>
          <w:sz w:val="26"/>
          <w:szCs w:val="26"/>
          <w:lang w:val="ro-RO"/>
        </w:rPr>
        <w:tab/>
      </w:r>
      <w:r>
        <w:rPr>
          <w:rFonts w:cs="Arial" w:ascii="Arial" w:hAnsi="Arial"/>
          <w:b/>
          <w:sz w:val="26"/>
          <w:szCs w:val="26"/>
          <w:lang w:val="ro-RO"/>
        </w:rPr>
        <w:t>ART. X</w:t>
      </w:r>
      <w:r>
        <w:rPr>
          <w:rFonts w:cs="Arial" w:ascii="Arial" w:hAnsi="Arial"/>
          <w:sz w:val="26"/>
          <w:szCs w:val="26"/>
          <w:lang w:val="ro-RO"/>
        </w:rPr>
        <w:t xml:space="preserve"> - (1) În anul 2022, rentele viagere prevăzute la art. 64 din Legea educaţiei fizice şi sportului nr. 69/2000, cu modificările şi completările ulterioare, se acordă în cuantumul aflat în plată în luna decembrie 2021.</w:t>
      </w:r>
    </w:p>
    <w:p>
      <w:pPr>
        <w:pStyle w:val="Normal"/>
        <w:spacing w:lineRule="auto" w:line="240" w:before="0" w:after="0"/>
        <w:ind w:firstLine="720"/>
        <w:jc w:val="both"/>
        <w:rPr>
          <w:rFonts w:ascii="Arial" w:hAnsi="Arial" w:cs="Arial"/>
          <w:sz w:val="26"/>
          <w:szCs w:val="26"/>
          <w:lang w:val="ro-RO"/>
        </w:rPr>
      </w:pPr>
      <w:r>
        <w:rPr>
          <w:rFonts w:cs="Arial" w:ascii="Arial" w:hAnsi="Arial"/>
          <w:sz w:val="26"/>
          <w:szCs w:val="26"/>
          <w:lang w:val="ro-RO"/>
        </w:rPr>
        <w:t>(2)    Prin derogare de la prevederile art. 5 alin. (1) din Legea nr. 118/2002 pentru instituirea indemnizaţiei de merit, cu modificările şi completările ulterioare, în anul 2022, cuantumul lunar al indemnizaţiei de merit se menţine la nivelul din luna decembrie 2021, de 6.240 lei.</w:t>
      </w:r>
    </w:p>
    <w:p>
      <w:pPr>
        <w:pStyle w:val="Normal"/>
        <w:spacing w:lineRule="auto" w:line="240" w:before="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0" w:after="0"/>
        <w:ind w:firstLine="720"/>
        <w:jc w:val="both"/>
        <w:rPr>
          <w:rFonts w:ascii="Arial" w:hAnsi="Arial" w:cs="Arial"/>
          <w:sz w:val="26"/>
          <w:szCs w:val="26"/>
          <w:lang w:val="ro-RO"/>
        </w:rPr>
      </w:pPr>
      <w:r>
        <w:rPr>
          <w:rFonts w:cs="Arial" w:ascii="Arial" w:hAnsi="Arial"/>
          <w:b/>
          <w:sz w:val="26"/>
          <w:szCs w:val="26"/>
          <w:lang w:val="ro-RO"/>
        </w:rPr>
        <w:t>ART. XI</w:t>
      </w:r>
      <w:r>
        <w:rPr>
          <w:rFonts w:cs="Arial" w:ascii="Arial" w:hAnsi="Arial"/>
          <w:sz w:val="26"/>
          <w:szCs w:val="26"/>
          <w:lang w:val="ro-RO"/>
        </w:rPr>
        <w:t xml:space="preserve"> – (1) Prevederile art. 8 din Legea educaţiei naţionale nr. 1/2011, cu modificările şi completările ulterioare, se aplică începând cu anul 2023.</w:t>
      </w:r>
    </w:p>
    <w:p>
      <w:pPr>
        <w:pStyle w:val="Normal"/>
        <w:spacing w:lineRule="auto" w:line="240" w:before="0" w:after="0"/>
        <w:ind w:firstLine="720"/>
        <w:jc w:val="both"/>
        <w:rPr>
          <w:rFonts w:ascii="Arial" w:hAnsi="Arial" w:cs="Arial"/>
          <w:sz w:val="26"/>
          <w:szCs w:val="26"/>
          <w:lang w:val="ro-RO"/>
        </w:rPr>
      </w:pPr>
      <w:r>
        <w:rPr>
          <w:rFonts w:cs="Arial" w:ascii="Arial" w:hAnsi="Arial"/>
          <w:sz w:val="26"/>
          <w:szCs w:val="26"/>
          <w:lang w:val="ro-RO"/>
        </w:rPr>
        <w:t>(2) Prevederile art. 49 alin. (3) din Ordonanţa Guvernului nr. 57/2002 privind cercetarea ştiinţifică şi dezvoltarea tehnologică, publicată în Monitorul Oficial al României, Partea I, nr. 643 din 30 august 2002, aprobată cu modificări şi completări prin Legea nr. 324/2003, cu modificările şi completările ulterioare, se aplică începând cu anul 2023.</w:t>
      </w:r>
    </w:p>
    <w:p>
      <w:pPr>
        <w:pStyle w:val="Normal"/>
        <w:spacing w:lineRule="auto" w:line="240" w:before="0" w:after="0"/>
        <w:rPr>
          <w:rFonts w:ascii="Arial" w:hAnsi="Arial" w:cs="Arial"/>
          <w:sz w:val="26"/>
          <w:szCs w:val="26"/>
          <w:lang w:val="ro-RO"/>
        </w:rPr>
      </w:pPr>
      <w:r>
        <w:rPr>
          <w:rFonts w:cs="Arial" w:ascii="Arial" w:hAnsi="Arial"/>
          <w:sz w:val="26"/>
          <w:szCs w:val="26"/>
          <w:lang w:val="ro-RO"/>
        </w:rPr>
      </w:r>
    </w:p>
    <w:p>
      <w:pPr>
        <w:pStyle w:val="Normal"/>
        <w:spacing w:lineRule="auto" w:line="240" w:before="0" w:after="0"/>
        <w:ind w:firstLine="720"/>
        <w:jc w:val="both"/>
        <w:rPr/>
      </w:pPr>
      <w:r>
        <w:rPr>
          <w:rFonts w:cs="Arial" w:ascii="Arial" w:hAnsi="Arial"/>
          <w:b/>
          <w:bCs/>
          <w:sz w:val="26"/>
          <w:szCs w:val="26"/>
          <w:lang w:val="ro-RO"/>
        </w:rPr>
        <w:t xml:space="preserve">ART. </w:t>
      </w:r>
      <w:r>
        <w:rPr>
          <w:rFonts w:cs="Arial" w:ascii="Arial" w:hAnsi="Arial"/>
          <w:b/>
          <w:sz w:val="26"/>
          <w:szCs w:val="26"/>
          <w:lang w:val="ro-RO"/>
        </w:rPr>
        <w:t xml:space="preserve">XII </w:t>
      </w:r>
      <w:r>
        <w:rPr>
          <w:rFonts w:cs="Arial" w:ascii="Arial" w:hAnsi="Arial"/>
          <w:sz w:val="26"/>
          <w:szCs w:val="26"/>
          <w:lang w:val="ro-RO"/>
        </w:rPr>
        <w:t xml:space="preserve">- </w:t>
      </w:r>
      <w:r>
        <w:rPr>
          <w:rFonts w:cs="Arial" w:ascii="Arial" w:hAnsi="Arial"/>
          <w:sz w:val="26"/>
          <w:szCs w:val="26"/>
          <w:shd w:fill="FFFFFF" w:val="clear"/>
          <w:lang w:val="ro-RO"/>
        </w:rPr>
        <w:t>Prevederile </w:t>
      </w:r>
      <w:hyperlink r:id="rId14">
        <w:r>
          <w:rPr>
            <w:rStyle w:val="InternetLink"/>
            <w:rFonts w:cs="Arial" w:ascii="Arial" w:hAnsi="Arial"/>
            <w:color w:val="auto"/>
            <w:sz w:val="26"/>
            <w:szCs w:val="26"/>
            <w:highlight w:val="white"/>
            <w:u w:val="none"/>
            <w:lang w:val="ro-RO"/>
          </w:rPr>
          <w:t>art. 19 lit. b)</w:t>
        </w:r>
      </w:hyperlink>
      <w:r>
        <w:rPr>
          <w:rFonts w:cs="Arial" w:ascii="Arial" w:hAnsi="Arial"/>
          <w:sz w:val="26"/>
          <w:szCs w:val="26"/>
          <w:shd w:fill="FFFFFF" w:val="clear"/>
          <w:lang w:val="ro-RO"/>
        </w:rPr>
        <w:t> și </w:t>
      </w:r>
      <w:hyperlink r:id="rId15">
        <w:r>
          <w:rPr>
            <w:rStyle w:val="InternetLink"/>
            <w:rFonts w:cs="Arial" w:ascii="Arial" w:hAnsi="Arial"/>
            <w:color w:val="auto"/>
            <w:sz w:val="26"/>
            <w:szCs w:val="26"/>
            <w:highlight w:val="white"/>
            <w:u w:val="none"/>
            <w:lang w:val="ro-RO"/>
          </w:rPr>
          <w:t>c) ale art. II din Ordonanța de urgență a Guvernului nr. 80/2010</w:t>
        </w:r>
      </w:hyperlink>
      <w:r>
        <w:rPr>
          <w:rFonts w:cs="Arial" w:ascii="Arial" w:hAnsi="Arial"/>
          <w:sz w:val="26"/>
          <w:szCs w:val="26"/>
          <w:shd w:fill="FFFFFF" w:val="clear"/>
          <w:lang w:val="ro-RO"/>
        </w:rPr>
        <w:t> pentru completarea a</w:t>
      </w:r>
      <w:hyperlink r:id="rId16">
        <w:r>
          <w:rPr>
            <w:rStyle w:val="InternetLink"/>
            <w:rFonts w:cs="Arial" w:ascii="Arial" w:hAnsi="Arial"/>
            <w:color w:val="auto"/>
            <w:sz w:val="26"/>
            <w:szCs w:val="26"/>
            <w:highlight w:val="white"/>
            <w:u w:val="none"/>
            <w:lang w:val="ro-RO"/>
          </w:rPr>
          <w:t>rt. 11 din Ordonanța de urgență a Guvernului nr. 37/2008</w:t>
        </w:r>
      </w:hyperlink>
      <w:r>
        <w:rPr>
          <w:rFonts w:cs="Arial" w:ascii="Arial" w:hAnsi="Arial"/>
          <w:sz w:val="26"/>
          <w:szCs w:val="26"/>
          <w:shd w:fill="FFFFFF" w:val="clear"/>
          <w:lang w:val="ro-RO"/>
        </w:rPr>
        <w:t> privind reglementarea unor măsuri financiare în domeniul bugetar, precum și pentru instituirea altor măsuri financiare în domeniul bugetar, aprobată cu modificări și completări prin </w:t>
      </w:r>
      <w:hyperlink r:id="rId17">
        <w:r>
          <w:rPr>
            <w:rStyle w:val="InternetLink"/>
            <w:rFonts w:cs="Arial" w:ascii="Arial" w:hAnsi="Arial"/>
            <w:color w:val="auto"/>
            <w:sz w:val="26"/>
            <w:szCs w:val="26"/>
            <w:highlight w:val="white"/>
            <w:u w:val="none"/>
            <w:lang w:val="ro-RO"/>
          </w:rPr>
          <w:t>Legea nr. 283/2011</w:t>
        </w:r>
      </w:hyperlink>
      <w:r>
        <w:rPr>
          <w:rFonts w:cs="Arial" w:ascii="Arial" w:hAnsi="Arial"/>
          <w:sz w:val="26"/>
          <w:szCs w:val="26"/>
          <w:shd w:fill="FFFFFF" w:val="clear"/>
          <w:lang w:val="ro-RO"/>
        </w:rPr>
        <w:t>, se aplică în mod corespunzător și în anul 2022.</w:t>
      </w:r>
    </w:p>
    <w:p>
      <w:pPr>
        <w:pStyle w:val="Normal"/>
        <w:spacing w:lineRule="auto" w:line="240" w:before="0" w:after="0"/>
        <w:jc w:val="both"/>
        <w:rPr>
          <w:rStyle w:val="InternetLink"/>
          <w:color w:val="auto"/>
          <w:sz w:val="26"/>
          <w:szCs w:val="26"/>
          <w:u w:val="none"/>
          <w:lang w:val="ro-RO"/>
        </w:rPr>
      </w:pPr>
      <w:r>
        <w:rPr>
          <w:color w:val="auto"/>
          <w:sz w:val="26"/>
          <w:szCs w:val="26"/>
          <w:u w:val="none"/>
          <w:lang w:val="ro-RO"/>
        </w:rPr>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b/>
          <w:color w:val="auto"/>
          <w:sz w:val="26"/>
          <w:szCs w:val="26"/>
          <w:highlight w:val="white"/>
          <w:u w:val="none"/>
          <w:lang w:val="ro-RO"/>
        </w:rPr>
        <w:t>ART. XIII</w:t>
      </w:r>
      <w:r>
        <w:rPr>
          <w:rStyle w:val="InternetLink"/>
          <w:rFonts w:cs="Arial" w:ascii="Arial" w:hAnsi="Arial"/>
          <w:color w:val="auto"/>
          <w:sz w:val="26"/>
          <w:szCs w:val="26"/>
          <w:highlight w:val="white"/>
          <w:u w:val="none"/>
          <w:lang w:val="ro-RO"/>
        </w:rPr>
        <w:t xml:space="preserve"> - (1) Termenul prevăzut la art. 361 alin. (3) lit. e) din Legea educaţiei naţionale nr. 1/2011, publicată în Monitorul Oficial al României, Partea I, nr. 18 din 10 ianuarie 2011, cu modificările şi completările ulterioare, se prorogă până la data de 31 decembrie 2022.</w:t>
      </w:r>
    </w:p>
    <w:p>
      <w:pPr>
        <w:pStyle w:val="Normal"/>
        <w:spacing w:lineRule="auto" w:line="240" w:before="0" w:after="0"/>
        <w:jc w:val="both"/>
        <w:rPr>
          <w:rStyle w:val="InternetLink"/>
          <w:rFonts w:ascii="Arial" w:hAnsi="Arial" w:cs="Arial"/>
          <w:color w:val="auto"/>
          <w:sz w:val="26"/>
          <w:szCs w:val="26"/>
          <w:highlight w:val="white"/>
          <w:u w:val="none"/>
          <w:lang w:val="ro-RO"/>
        </w:rPr>
      </w:pPr>
      <w:r>
        <w:rPr>
          <w:rStyle w:val="InternetLink"/>
          <w:rFonts w:cs="Arial" w:ascii="Arial" w:hAnsi="Arial"/>
          <w:color w:val="auto"/>
          <w:sz w:val="26"/>
          <w:szCs w:val="26"/>
          <w:highlight w:val="white"/>
          <w:u w:val="none"/>
          <w:lang w:val="ro-RO"/>
        </w:rPr>
        <w:tab/>
        <w:t>(2) Cupoanele sociale prevăzute la art. 27 alin. (6) din Legea nr. 1/2011, publicată în Monitorul Oficial al României, Partea I, nr. 18 din 10 ianuarie 2011, cu modificările şi completările ulterioare, nu se acordă până la data de 31 decembrie 2022.</w:t>
      </w:r>
    </w:p>
    <w:p>
      <w:pPr>
        <w:pStyle w:val="Normal"/>
        <w:spacing w:lineRule="auto" w:line="240" w:before="0" w:after="0"/>
        <w:jc w:val="both"/>
        <w:rPr>
          <w:rStyle w:val="InternetLink"/>
          <w:rFonts w:ascii="Arial" w:hAnsi="Arial" w:cs="Arial"/>
          <w:color w:val="auto"/>
          <w:sz w:val="26"/>
          <w:szCs w:val="26"/>
          <w:highlight w:val="white"/>
          <w:u w:val="none"/>
          <w:lang w:val="ro-RO"/>
        </w:rPr>
      </w:pPr>
      <w:r>
        <w:rPr>
          <w:rFonts w:cs="Arial" w:ascii="Arial" w:hAnsi="Arial"/>
          <w:color w:val="auto"/>
          <w:sz w:val="26"/>
          <w:szCs w:val="26"/>
          <w:highlight w:val="white"/>
          <w:u w:val="none"/>
          <w:lang w:val="ro-RO"/>
        </w:rPr>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b/>
          <w:color w:val="auto"/>
          <w:sz w:val="26"/>
          <w:szCs w:val="26"/>
          <w:highlight w:val="white"/>
          <w:u w:val="none"/>
          <w:lang w:val="ro-RO"/>
        </w:rPr>
        <w:t>ART. XIV</w:t>
      </w:r>
      <w:r>
        <w:rPr>
          <w:rStyle w:val="InternetLink"/>
          <w:rFonts w:cs="Arial" w:ascii="Arial" w:hAnsi="Arial"/>
          <w:color w:val="auto"/>
          <w:sz w:val="26"/>
          <w:szCs w:val="26"/>
          <w:highlight w:val="white"/>
          <w:u w:val="none"/>
          <w:lang w:val="ro-RO"/>
        </w:rPr>
        <w:t xml:space="preserve"> - Articolul 97 din Legea nr. 196/2016 privind venitul minim de incluziune, publicată în Monitorul Oficial al României, Partea I, nr. 882 din 3 noiembrie 2016, cu modificările ulterioare, se modifică şi va avea următorul cuprins:</w:t>
      </w:r>
    </w:p>
    <w:p>
      <w:pPr>
        <w:pStyle w:val="Normal"/>
        <w:spacing w:lineRule="auto" w:line="240" w:before="0" w:after="0"/>
        <w:jc w:val="both"/>
        <w:rPr>
          <w:rStyle w:val="InternetLink"/>
          <w:rFonts w:ascii="Arial" w:hAnsi="Arial" w:cs="Arial"/>
          <w:color w:val="auto"/>
          <w:sz w:val="26"/>
          <w:szCs w:val="26"/>
          <w:highlight w:val="white"/>
          <w:u w:val="none"/>
          <w:lang w:val="ro-RO"/>
        </w:rPr>
      </w:pPr>
      <w:r>
        <w:rPr>
          <w:rStyle w:val="InternetLink"/>
          <w:rFonts w:cs="Arial" w:ascii="Arial" w:hAnsi="Arial"/>
          <w:color w:val="auto"/>
          <w:sz w:val="26"/>
          <w:szCs w:val="26"/>
          <w:highlight w:val="white"/>
          <w:u w:val="none"/>
          <w:lang w:val="ro-RO"/>
        </w:rPr>
        <w:t xml:space="preserve">    </w:t>
      </w:r>
      <w:r>
        <w:rPr>
          <w:rStyle w:val="InternetLink"/>
          <w:rFonts w:cs="Arial" w:ascii="Arial" w:hAnsi="Arial"/>
          <w:color w:val="auto"/>
          <w:sz w:val="26"/>
          <w:szCs w:val="26"/>
          <w:highlight w:val="white"/>
          <w:u w:val="none"/>
          <w:lang w:val="ro-RO"/>
        </w:rPr>
        <w:t>"ART. 97 -  Prezenta lege intră în vigoare la data de 1 septembrie 2023, cu excepţia art. 95, care intră în vigoare la data de 1 martie 2022."</w:t>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Fonts w:cs="Arial" w:ascii="Arial" w:hAnsi="Arial"/>
          <w:color w:val="auto"/>
          <w:sz w:val="26"/>
          <w:szCs w:val="26"/>
          <w:highlight w:val="white"/>
          <w:u w:val="none"/>
          <w:lang w:val="ro-RO"/>
        </w:rPr>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b/>
          <w:color w:val="auto"/>
          <w:sz w:val="26"/>
          <w:szCs w:val="26"/>
          <w:highlight w:val="white"/>
          <w:u w:val="none"/>
          <w:lang w:val="ro-RO"/>
        </w:rPr>
        <w:t>ART. XV</w:t>
      </w:r>
      <w:r>
        <w:rPr>
          <w:rStyle w:val="InternetLink"/>
          <w:rFonts w:cs="Arial" w:ascii="Arial" w:hAnsi="Arial"/>
          <w:color w:val="auto"/>
          <w:sz w:val="26"/>
          <w:szCs w:val="26"/>
          <w:highlight w:val="white"/>
          <w:u w:val="none"/>
          <w:lang w:val="ro-RO"/>
        </w:rPr>
        <w:t xml:space="preserve"> - (1) Prin derogare de la prevederile art. 29 alin. (5) din Legea responsabilității fiscal-bugetare nr. 69/2010, republicată, prim-ministrul și ministrul finanțelor semnează o declarație de răspundere prin care se atestă, exclusiv, corectitudinea și integralitatea informațiilor din Strategia fiscal-bugetară pentru perioada 2022 - 2024.</w:t>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color w:val="auto"/>
          <w:sz w:val="26"/>
          <w:szCs w:val="26"/>
          <w:highlight w:val="white"/>
          <w:u w:val="none"/>
          <w:lang w:val="ro-RO"/>
        </w:rPr>
        <w:t>(2) Prin derogare de la prevederile art. 30 alin. (4) din Legea nr. 69/2010, republicată, prim-ministrul și ministrul finanțelor semnează o declarație ce atestă exclusiv încadrarea proiectului de buget pe anul 2022 și perspectiva 2023 - 2025 în țintele, obiectivele și prioritățile asumate prin Strategia fiscal-bugetară pentru perioada 2022 - 2024.</w:t>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color w:val="auto"/>
          <w:sz w:val="26"/>
          <w:szCs w:val="26"/>
          <w:highlight w:val="white"/>
          <w:u w:val="none"/>
          <w:lang w:val="ro-RO"/>
        </w:rPr>
        <w:t>(3) Prevederile art. 30 alin. (5) din Legea nr. 69/2010, republicată, nu se aplică pentru planificarea bugetară pe anul 2022 şi perspectiva 2023-2025.</w:t>
      </w:r>
    </w:p>
    <w:p>
      <w:pPr>
        <w:pStyle w:val="Normal"/>
        <w:spacing w:lineRule="auto" w:line="240" w:before="0" w:after="0"/>
        <w:ind w:firstLine="720"/>
        <w:jc w:val="both"/>
        <w:rPr>
          <w:rStyle w:val="InternetLink"/>
          <w:color w:val="auto"/>
          <w:sz w:val="26"/>
          <w:szCs w:val="26"/>
          <w:highlight w:val="white"/>
          <w:u w:val="none"/>
          <w:lang w:val="ro-RO"/>
        </w:rPr>
      </w:pPr>
      <w:r>
        <w:rPr>
          <w:color w:val="auto"/>
          <w:sz w:val="26"/>
          <w:szCs w:val="26"/>
          <w:highlight w:val="white"/>
          <w:u w:val="none"/>
          <w:lang w:val="ro-RO"/>
        </w:rPr>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b/>
          <w:color w:val="auto"/>
          <w:sz w:val="26"/>
          <w:szCs w:val="26"/>
          <w:highlight w:val="white"/>
          <w:u w:val="none"/>
          <w:lang w:val="ro-RO"/>
        </w:rPr>
        <w:t>ART. XVI</w:t>
      </w:r>
      <w:r>
        <w:rPr>
          <w:rStyle w:val="InternetLink"/>
          <w:rFonts w:cs="Arial" w:ascii="Arial" w:hAnsi="Arial"/>
          <w:color w:val="auto"/>
          <w:sz w:val="26"/>
          <w:szCs w:val="26"/>
          <w:highlight w:val="white"/>
          <w:u w:val="none"/>
          <w:lang w:val="ro-RO"/>
        </w:rPr>
        <w:t xml:space="preserve"> – Alineatul (1) al articolului unic al Ordonanței de urgență a Guvernului nr. 188/2020 privind unele măsuri temporare necesare pentru exercitarea funcției de conducător al compartimentului financiar-contabil din administrația publică centrală, aprobată cu modificări prin Legea nr. 211/2021, se modifică și va avea următorul cuprins:</w:t>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Style w:val="InternetLink"/>
          <w:rFonts w:cs="Arial" w:ascii="Arial" w:hAnsi="Arial"/>
          <w:color w:val="auto"/>
          <w:sz w:val="26"/>
          <w:szCs w:val="26"/>
          <w:highlight w:val="white"/>
          <w:u w:val="none"/>
          <w:lang w:val="ro-RO"/>
        </w:rPr>
        <w:t xml:space="preserve">” </w:t>
      </w:r>
      <w:r>
        <w:rPr>
          <w:rStyle w:val="InternetLink"/>
          <w:rFonts w:cs="Arial" w:ascii="Arial" w:hAnsi="Arial"/>
          <w:color w:val="auto"/>
          <w:sz w:val="26"/>
          <w:szCs w:val="26"/>
          <w:highlight w:val="white"/>
          <w:u w:val="none"/>
          <w:lang w:val="ro-RO"/>
        </w:rPr>
        <w:t>(1)</w:t>
        <w:tab/>
        <w:t>Începând cu data intrării în vigoare a prezentei ordonanțe de urgență, prin derogare de la prevederile art. 19 lit. b^2) şi b^3) din Legea nr. 500/2002 privind finanțele publice, cu modificările și completările ulterioare, pe durata instituirii stării de urgență sau, după caz, a stării de alertă pe teritoriul României, în condițiile legii, dar nu mai târziu de 31 decembrie 2022, în funcția de conducător al compartimentului financiar-contabil din administrația publică centrală pot fi numite, în condițiile legii, și persoane care nu dețin certificatul de atestare a cunoștințelor dobândite în domeniul Sistemului European de Conturi.”</w:t>
      </w:r>
    </w:p>
    <w:p>
      <w:pPr>
        <w:pStyle w:val="Normal"/>
        <w:spacing w:lineRule="auto" w:line="240" w:before="0" w:after="0"/>
        <w:ind w:firstLine="720"/>
        <w:jc w:val="both"/>
        <w:rPr>
          <w:rStyle w:val="InternetLink"/>
          <w:rFonts w:ascii="Arial" w:hAnsi="Arial" w:cs="Arial"/>
          <w:color w:val="auto"/>
          <w:sz w:val="26"/>
          <w:szCs w:val="26"/>
          <w:highlight w:val="white"/>
          <w:u w:val="none"/>
          <w:lang w:val="ro-RO"/>
        </w:rPr>
      </w:pPr>
      <w:r>
        <w:rPr>
          <w:rFonts w:cs="Arial" w:ascii="Arial" w:hAnsi="Arial"/>
          <w:color w:val="auto"/>
          <w:sz w:val="26"/>
          <w:szCs w:val="26"/>
          <w:highlight w:val="white"/>
          <w:u w:val="none"/>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ART. XVII</w:t>
      </w:r>
      <w:r>
        <w:rPr>
          <w:rStyle w:val="InternetLink"/>
          <w:rFonts w:cs="Arial" w:ascii="Arial" w:hAnsi="Arial"/>
          <w:color w:val="auto"/>
          <w:sz w:val="26"/>
          <w:szCs w:val="26"/>
          <w:highlight w:val="white"/>
          <w:u w:val="none"/>
          <w:lang w:val="ro-RO"/>
        </w:rPr>
        <w:t xml:space="preserve"> - </w:t>
      </w:r>
      <w:r>
        <w:rPr>
          <w:rFonts w:cs="Arial" w:ascii="Arial" w:hAnsi="Arial"/>
          <w:sz w:val="26"/>
          <w:szCs w:val="26"/>
          <w:lang w:val="ro-RO"/>
        </w:rPr>
        <w:t>Termenul prevăzut la alineatul (1) al articolului 10 din Ordonanţa de urgenţă a Guvernului nr. 34/2013 privind organizarea, administrarea şi exploatarea pajiştilor permanente şi pentru modificarea şi completarea Legii fondului funciar nr. 18/1991, publicată în Monitorul Oficial al României, Partea I, nr. 267 din 13 mai 2013, aprobată cu modificări şi completări prin Legea nr. 86/2014, cu modificările şi completările ulterioare,așa cum a fost  prorogat de art. I din Ordonanța de Urgență a Guvernului nr. 225/2020 privind modificarea unor acte normative şi stabilirea unor măsuri în domeniul agriculturii, publicată în Monitorul Oficial al României, Partea I, nr.1331 din 31 decembrie 2020, se prorogă până la data de 1 ianuarie 2023.</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ART. XVIII</w:t>
      </w:r>
      <w:r>
        <w:rPr>
          <w:rStyle w:val="InternetLink"/>
          <w:rFonts w:cs="Arial" w:ascii="Arial" w:hAnsi="Arial"/>
          <w:color w:val="auto"/>
          <w:sz w:val="26"/>
          <w:szCs w:val="26"/>
          <w:highlight w:val="white"/>
          <w:u w:val="none"/>
          <w:lang w:val="ro-RO"/>
        </w:rPr>
        <w:t xml:space="preserve"> - </w:t>
      </w:r>
      <w:r>
        <w:rPr>
          <w:rFonts w:cs="Arial" w:ascii="Arial" w:hAnsi="Arial"/>
          <w:sz w:val="26"/>
          <w:szCs w:val="26"/>
          <w:lang w:val="ro-RO"/>
        </w:rPr>
        <w:t>În perioada 1 ianuarie 2022 - 31 decembrie 2022 se suspendă aplicarea prevederilor Legii nr. 509/2006 privind acordarea de miere de albine ca supliment nutritiv pentru preşcolari şi elevii din învăţământul primar de stat, privat şi confesional, publicată în Monitorul Oficial al României, Partea I, nr. 18 din 11 ianuarie 2007, cu modificările şi completările ulterioare.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ART. XIX</w:t>
      </w:r>
      <w:r>
        <w:rPr>
          <w:rFonts w:cs="Arial" w:ascii="Arial" w:hAnsi="Arial"/>
          <w:sz w:val="26"/>
          <w:szCs w:val="26"/>
          <w:lang w:val="ro-RO"/>
        </w:rPr>
        <w:t xml:space="preserve"> - Termenul prevăzut la articolul 11 din Legea nr. 133/2019 pentru înfiinţarea Agenţiei pentru Calitatea şi Marketingul Produselor Agroalimentare, publicată în Monitorul Oficial al României, Partea I, nr. 576 din 15 iulie 2019, cu modificările ulterioare, se prorogă până la data de 1 ianuarie 2023.</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 xml:space="preserve">ART. XX </w:t>
      </w:r>
      <w:r>
        <w:rPr>
          <w:rStyle w:val="InternetLink"/>
          <w:rFonts w:cs="Arial" w:ascii="Arial" w:hAnsi="Arial"/>
          <w:color w:val="auto"/>
          <w:sz w:val="26"/>
          <w:szCs w:val="26"/>
          <w:highlight w:val="white"/>
          <w:u w:val="none"/>
          <w:lang w:val="ro-RO"/>
        </w:rPr>
        <w:t>-</w:t>
      </w:r>
      <w:r>
        <w:rPr>
          <w:rStyle w:val="InternetLink"/>
          <w:rFonts w:cs="Arial" w:ascii="Arial" w:hAnsi="Arial"/>
          <w:b/>
          <w:color w:val="auto"/>
          <w:sz w:val="26"/>
          <w:szCs w:val="26"/>
          <w:highlight w:val="white"/>
          <w:u w:val="none"/>
          <w:lang w:val="ro-RO"/>
        </w:rPr>
        <w:t xml:space="preserve"> </w:t>
      </w:r>
      <w:r>
        <w:rPr>
          <w:rFonts w:cs="Arial" w:ascii="Arial" w:hAnsi="Arial"/>
          <w:sz w:val="26"/>
          <w:szCs w:val="26"/>
          <w:lang w:val="ro-RO"/>
        </w:rPr>
        <w:t>Termenul de intrare în vigoare prevăzut la articolul 9 din Legea nr. 236/2020 pentru stimularea producătorilor agricoli care comercializează produsele agricole primare, produse pescăreşti şi de acvacultură, publicată în Monitorul Oficial al României, Partea I, nr. 1037 din 6 noiembrie 2020, se prorogă până la data de 1 ianuarie 2023.</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ART. XXI</w:t>
      </w:r>
      <w:r>
        <w:rPr>
          <w:rStyle w:val="InternetLink"/>
          <w:rFonts w:cs="Arial" w:ascii="Arial" w:hAnsi="Arial"/>
          <w:color w:val="auto"/>
          <w:sz w:val="26"/>
          <w:szCs w:val="26"/>
          <w:highlight w:val="white"/>
          <w:u w:val="none"/>
          <w:lang w:val="ro-RO"/>
        </w:rPr>
        <w:t xml:space="preserve"> - </w:t>
      </w:r>
      <w:r>
        <w:rPr>
          <w:rFonts w:cs="Arial" w:ascii="Arial" w:hAnsi="Arial"/>
          <w:sz w:val="26"/>
          <w:szCs w:val="26"/>
          <w:lang w:val="ro-RO"/>
        </w:rPr>
        <w:t>Termenul prevăzut la art. III din Legea nr. 352/2015 pentru modificarea şi completarea Ordonanţei Guvernului nr. 26/2011 privind înfiinţarea Inspectoratului de Stat pentru Controlul în Transportul Rutier, publicată în Monitorul Oficial al României, Partea I, nr. 979 din 30 decembrie 2015, cu modificările ulterioare, se prorogă până la data de 1 ianuarie 2023.</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Style w:val="InternetLink"/>
          <w:rFonts w:cs="Arial" w:ascii="Arial" w:hAnsi="Arial"/>
          <w:b/>
          <w:color w:val="auto"/>
          <w:sz w:val="26"/>
          <w:szCs w:val="26"/>
          <w:highlight w:val="white"/>
          <w:u w:val="none"/>
          <w:lang w:val="ro-RO"/>
        </w:rPr>
        <w:t>ART. XXII</w:t>
      </w:r>
      <w:r>
        <w:rPr>
          <w:rStyle w:val="InternetLink"/>
          <w:rFonts w:cs="Arial" w:ascii="Arial" w:hAnsi="Arial"/>
          <w:color w:val="auto"/>
          <w:sz w:val="26"/>
          <w:szCs w:val="26"/>
          <w:highlight w:val="white"/>
          <w:u w:val="none"/>
          <w:lang w:val="ro-RO"/>
        </w:rPr>
        <w:t xml:space="preserve"> </w:t>
      </w:r>
      <w:r>
        <w:rPr>
          <w:rFonts w:cs="Arial" w:ascii="Arial" w:hAnsi="Arial"/>
          <w:sz w:val="26"/>
          <w:szCs w:val="26"/>
          <w:lang w:val="ro-RO"/>
        </w:rPr>
        <w:t>- Până la 1 ianuarie 2023, prevederile art. 210 din Ordonanţa de urgenţă a Guvernului nr. 57/2019 privind Codul administrativ, cu completările ulterioare, se suspendă.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 xml:space="preserve">ART. XXIII </w:t>
      </w:r>
      <w:r>
        <w:rPr>
          <w:rFonts w:cs="Arial" w:ascii="Arial" w:hAnsi="Arial"/>
          <w:sz w:val="26"/>
          <w:szCs w:val="26"/>
          <w:lang w:val="ro-RO"/>
        </w:rPr>
        <w:t>– (1) Termenul prevăzut la art. 6 din Ordonanţa Guvernului nr. 5/2013 privind stabilirea unor măsuri speciale de impozitare a activităţilor cu caracter de monopol natural din sectorul energiei electrice şi al gazului natural, cu modificările ulterioare, se prorogă până la data de 31 decembrie 2025, inclusiv.</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Termenul prevăzut la art. 6 din Ordonanţa Guvernului nr. 6/2013 privind instituirea unor măsuri speciale pentru impozitarea exploatării resurselor naturale, altele decât gazele naturale, aprobată cu modificări şi completări prin Legea nr. 261/2013, cu modificările ulterioare, se prorogă până la data de 31 decembrie 2025, inclusiv.</w:t>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 xml:space="preserve">ART. XXIV </w:t>
      </w:r>
      <w:r>
        <w:rPr>
          <w:rFonts w:cs="Arial" w:ascii="Arial" w:hAnsi="Arial"/>
          <w:sz w:val="26"/>
          <w:szCs w:val="26"/>
          <w:lang w:val="ro-RO"/>
        </w:rPr>
        <w:t>- Legea nr. 227/2015 privind Codul fiscal, publicată în Monitorul Oficial al României, Partea I, nr. 688 din 10 septembrie 2015, cu modificările şi completările ulterioare, se modifică și se completează după cum urmează:</w:t>
      </w:r>
    </w:p>
    <w:p>
      <w:pPr>
        <w:pStyle w:val="Normal"/>
        <w:spacing w:lineRule="auto" w:line="240" w:before="120" w:after="0"/>
        <w:ind w:firstLine="720"/>
        <w:jc w:val="both"/>
        <w:rPr/>
      </w:pPr>
      <w:r>
        <w:rPr>
          <w:rFonts w:cs="Arial" w:ascii="Arial" w:hAnsi="Arial"/>
          <w:sz w:val="26"/>
          <w:szCs w:val="26"/>
          <w:lang w:val="ro-RO"/>
        </w:rPr>
        <w:t>1. La articolul 76 alineatul (4), litera a) se modifică şi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 ajutoarele de înmormântare, ajutoarele pentru bolile grave şi incurabile, ajutoarele pentru dispozitive medicale, ajutoarele pentru naştere/adopţie, ajutoarele pentru pierderi produse în gospodăriile proprii ca urmare a calamităţilor naturale, veniturile reprezentând cadouri în bani şi/sau în natură, inclusiv tichete cadou, oferite salariaţilor, precum şi cele oferite pentru copiii minori ai acestora, contravaloarea transportului la şi de la locul de muncă al salariatului, contravaloarea serviciilor turistice şi/sau de tratament, inclusiv transportul, pe perioada concediului, pentru salariaţii proprii şi membrii de familie ai acestora, acordate de angajator pentru salariaţii proprii sau alte persoane, astfel cum este prevăzut în contractul de muncă sau în regulamentul intern.</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Nu sunt impozabile nici veniturile de natura celor prevăzute mai sus, realizate de persoane fizice, dacă aceste venituri sunt primite în baza unor legi speciale şi/sau finanţate din buget, cu excepţia indemnizaţiilor de vacanţă acordate potrivit legii.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În cazul cadourilor în bani şi/sau în natură, inclusiv tichetele cadou, oferite de angajatori, veniturile sunt neimpozabile, în măsura în care valoarea acestora pentru fiecare persoană în parte, cu fiecare ocazie din cele de mai jos, nu depăşeşte 300 de lei: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 cadouri oferite angajaţilor, precum şi cele oferite pentru copiii minori ai acestora, cu ocazia Paştelui, Crăciunului şi a sărbătorilor similare ale altor culte religioase;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(ii) cadouri oferite angajatelor cu ocazia zilei de 8 martie;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(iii) cadouri oferite angajaţilor în beneficiul copiilor minori ai acestora cu ocazia zilei de 1 iunie.</w:t>
      </w:r>
    </w:p>
    <w:p>
      <w:pPr>
        <w:pStyle w:val="Normal"/>
        <w:spacing w:lineRule="auto" w:line="240" w:before="120" w:after="0"/>
        <w:ind w:firstLine="720"/>
        <w:jc w:val="both"/>
        <w:rPr/>
      </w:pPr>
      <w:r>
        <w:rPr>
          <w:rFonts w:cs="Arial" w:ascii="Arial" w:hAnsi="Arial"/>
          <w:sz w:val="26"/>
          <w:szCs w:val="26"/>
          <w:lang w:val="ro-RO"/>
        </w:rPr>
        <w:t>Contravaloarea serviciilor turistice şi/sau de tratament, inclusiv transportul, pe perioada concediului, pentru angajaţii proprii şi membrii de familie ai acestora, acordate de angajator, astfel cum este prevăzut în contractul de muncă, regulamentul intern, sau primite în baza unor legi speciale şi/sau finanţate din buget, este neimpozabilă, în măsura în care valoarea totală a acestora nu depăşeşte într-un an fiscal, pentru fiecare angajat, nivelul unui câştig salarial mediu brut utilizat la fundamentarea bugetului asigurărilor sociale de stat pe anul în care au fost acordate;”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pPr>
      <w:r>
        <w:rPr>
          <w:rFonts w:cs="Arial" w:ascii="Arial" w:hAnsi="Arial"/>
          <w:sz w:val="26"/>
          <w:szCs w:val="26"/>
          <w:lang w:val="ro-RO"/>
        </w:rPr>
        <w:t>2. La articolul 100, alineatul (1) se modifică şi va avea următorul cuprins:</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 xml:space="preserve">(1) Venitul impozabil lunar din pensii se stabileşte prin deducerea din venitul din pensie a sumei neimpozabile lunare de 2.000 de lei și, după caz, a contribuţiei de asigurări sociale de sănătate datorată potrivit prevederilor titlului V - Contribuţii sociale obligatorii”. </w:t>
      </w:r>
    </w:p>
    <w:p>
      <w:pPr>
        <w:pStyle w:val="Normal"/>
        <w:spacing w:lineRule="auto" w:line="240" w:before="120" w:after="0"/>
        <w:jc w:val="both"/>
        <w:rPr/>
      </w:pPr>
      <w:r>
        <w:rPr>
          <w:rFonts w:eastAsia="Calibri" w:cs="Arial" w:ascii="Arial" w:hAnsi="Arial" w:eastAsiaTheme="minorHAnsi"/>
          <w:color w:val="auto"/>
          <w:kern w:val="0"/>
          <w:sz w:val="26"/>
          <w:szCs w:val="26"/>
          <w:lang w:val="ro-RO" w:eastAsia="en-US" w:bidi="ar-SA"/>
        </w:rPr>
        <w:tab/>
        <w:t>3. La articolul 101 alineatul (11) se abrogă.</w:t>
      </w:r>
    </w:p>
    <w:p>
      <w:pPr>
        <w:pStyle w:val="Normal"/>
        <w:spacing w:lineRule="auto" w:line="240" w:before="120" w:after="0"/>
        <w:jc w:val="both"/>
        <w:rPr/>
      </w:pPr>
      <w:r>
        <w:rPr>
          <w:rFonts w:cs="Arial" w:ascii="Arial" w:hAnsi="Arial"/>
          <w:sz w:val="26"/>
          <w:szCs w:val="26"/>
          <w:lang w:val="ro-RO"/>
        </w:rPr>
        <w:tab/>
        <w:t>4.La articolul 101 alineatul (12) se modifică și va avea următorul cuprins:</w:t>
      </w:r>
    </w:p>
    <w:p>
      <w:pPr>
        <w:pStyle w:val="Normal"/>
        <w:spacing w:lineRule="auto" w:line="240" w:before="120" w:after="0"/>
        <w:ind w:left="0" w:right="0" w:hanging="0"/>
        <w:jc w:val="both"/>
        <w:rPr/>
      </w:pPr>
      <w:r>
        <w:rPr>
          <w:rFonts w:cs="Arial" w:ascii="Arial" w:hAnsi="Arial"/>
          <w:sz w:val="26"/>
          <w:szCs w:val="26"/>
          <w:lang w:val="ro-RO"/>
        </w:rPr>
        <w:tab/>
        <w:t>”(12) Contribuabilii pot dispune asupra destinației unei sume reprezentând până la 3,5%</w:t>
      </w:r>
      <w:r>
        <w:rPr>
          <w:rFonts w:cs="Arial" w:ascii="Arial" w:hAnsi="Arial"/>
          <w:color w:val="000000"/>
          <w:sz w:val="26"/>
          <w:szCs w:val="26"/>
          <w:lang w:val="ro-RO"/>
        </w:rPr>
        <w:t xml:space="preserve"> din impozitul pe venit datorat </w:t>
      </w:r>
      <w:r>
        <w:rPr>
          <w:rFonts w:cs="Arial" w:ascii="Arial" w:hAnsi="Arial"/>
          <w:sz w:val="26"/>
          <w:szCs w:val="26"/>
          <w:lang w:val="ro-RO"/>
        </w:rPr>
        <w:t>pentru susținerea entităților nonprofit care se înființează și funcționează în condițiile legii și a unităților de cult, precum și pentru acordarea de burse private, potrivit legii, în conformitate cu reglementările art. 123</w:t>
      </w:r>
      <w:r>
        <w:rPr>
          <w:rFonts w:cs="Arial" w:ascii="Arial" w:hAnsi="Arial"/>
          <w:sz w:val="26"/>
          <w:szCs w:val="26"/>
          <w:vertAlign w:val="superscript"/>
          <w:lang w:val="ro-RO"/>
        </w:rPr>
        <w:t>1</w:t>
      </w:r>
      <w:r>
        <w:rPr>
          <w:rFonts w:cs="Arial" w:ascii="Arial" w:hAnsi="Arial"/>
          <w:position w:val="0"/>
          <w:sz w:val="26"/>
          <w:sz w:val="26"/>
          <w:szCs w:val="26"/>
          <w:vertAlign w:val="baseline"/>
          <w:lang w:val="ro-RO"/>
        </w:rPr>
        <w:t>”</w:t>
      </w:r>
      <w:r>
        <w:rPr>
          <w:rFonts w:cs="Arial" w:ascii="Arial" w:hAnsi="Arial"/>
          <w:sz w:val="26"/>
          <w:szCs w:val="26"/>
          <w:lang w:val="ro-RO"/>
        </w:rPr>
        <w:t>.</w:t>
      </w:r>
    </w:p>
    <w:p>
      <w:pPr>
        <w:pStyle w:val="Normal"/>
        <w:spacing w:lineRule="auto" w:line="240" w:before="120" w:after="0"/>
        <w:ind w:firstLine="720"/>
        <w:jc w:val="both"/>
        <w:rPr/>
      </w:pPr>
      <w:r>
        <w:rPr>
          <w:rFonts w:cs="Arial" w:ascii="Arial" w:hAnsi="Arial"/>
          <w:sz w:val="26"/>
          <w:szCs w:val="26"/>
          <w:lang w:val="ro-RO"/>
        </w:rPr>
        <w:t xml:space="preserve"> </w:t>
      </w:r>
      <w:r>
        <w:rPr>
          <w:rFonts w:cs="Arial" w:ascii="Arial" w:hAnsi="Arial"/>
          <w:sz w:val="26"/>
          <w:szCs w:val="26"/>
          <w:lang w:val="ro-RO"/>
        </w:rPr>
        <w:t>5. La articolul 114 alineatul (2), litera n) se abrogă.</w:t>
      </w:r>
    </w:p>
    <w:p>
      <w:pPr>
        <w:pStyle w:val="Normal"/>
        <w:spacing w:lineRule="auto" w:line="240" w:before="120" w:after="0"/>
        <w:jc w:val="both"/>
        <w:rPr/>
      </w:pPr>
      <w:r>
        <w:rPr>
          <w:rFonts w:cs="Arial" w:ascii="Arial" w:hAnsi="Arial"/>
          <w:sz w:val="26"/>
          <w:szCs w:val="26"/>
          <w:lang w:val="ro-RO"/>
        </w:rPr>
        <w:tab/>
        <w:t xml:space="preserve"> 6. </w:t>
      </w:r>
      <w:r>
        <w:rPr>
          <w:rFonts w:eastAsia="Calibri" w:cs="Arial" w:ascii="Arial" w:hAnsi="Arial" w:eastAsiaTheme="minorHAnsi"/>
          <w:b w:val="false"/>
          <w:bCs w:val="false"/>
          <w:color w:val="auto"/>
          <w:kern w:val="0"/>
          <w:sz w:val="26"/>
          <w:szCs w:val="26"/>
          <w:lang w:val="ro-RO" w:eastAsia="en-US" w:bidi="ar-SA"/>
        </w:rPr>
        <w:t>La articolul 115 alineatul (1</w:t>
      </w:r>
      <w:r>
        <w:rPr>
          <w:rFonts w:eastAsia="Calibri" w:cs="Arial" w:ascii="Arial" w:hAnsi="Arial" w:eastAsiaTheme="minorHAnsi"/>
          <w:b w:val="false"/>
          <w:bCs w:val="false"/>
          <w:color w:val="auto"/>
          <w:kern w:val="0"/>
          <w:sz w:val="26"/>
          <w:szCs w:val="26"/>
          <w:vertAlign w:val="superscript"/>
          <w:lang w:val="ro-RO" w:eastAsia="en-US" w:bidi="ar-SA"/>
        </w:rPr>
        <w:t>˄</w:t>
      </w:r>
      <w:r>
        <w:rPr>
          <w:rFonts w:eastAsia="Calibri" w:cs="Arial" w:ascii="Arial" w:hAnsi="Arial" w:eastAsiaTheme="minorHAnsi"/>
          <w:b w:val="false"/>
          <w:bCs w:val="false"/>
          <w:color w:val="auto"/>
          <w:kern w:val="0"/>
          <w:sz w:val="26"/>
          <w:szCs w:val="26"/>
          <w:lang w:val="ro-RO" w:eastAsia="en-US" w:bidi="ar-SA"/>
        </w:rPr>
        <w:t>2) se modifică şi va avea următorul cuprins:</w:t>
      </w:r>
    </w:p>
    <w:p>
      <w:pPr>
        <w:pStyle w:val="Normal"/>
        <w:spacing w:lineRule="auto" w:line="240" w:before="120" w:after="0"/>
        <w:ind w:firstLine="720"/>
        <w:jc w:val="both"/>
        <w:rPr/>
      </w:pPr>
      <w:r>
        <w:rPr>
          <w:rFonts w:eastAsia="Times New Roman" w:cs="Arial" w:ascii="Arial" w:hAnsi="Arial"/>
          <w:bCs/>
          <w:color w:val="auto"/>
          <w:sz w:val="24"/>
          <w:szCs w:val="24"/>
          <w:lang w:val="en-US" w:eastAsia="zh-CN" w:bidi="ar-SA"/>
        </w:rPr>
        <w:t xml:space="preserve">    ”</w:t>
      </w:r>
      <w:r>
        <w:rPr>
          <w:rFonts w:eastAsia="Times New Roman" w:cs="Arial" w:ascii="Arial" w:hAnsi="Arial"/>
          <w:bCs/>
          <w:color w:val="auto"/>
          <w:sz w:val="24"/>
          <w:szCs w:val="24"/>
          <w:lang w:val="en-US" w:eastAsia="zh-CN" w:bidi="ar-SA"/>
        </w:rPr>
        <w:t xml:space="preserve">(1^2) În cazul contribuabililor care realizează venituri prevăzute la art. 114 alin. (2) lit. </w:t>
      </w:r>
      <w:r>
        <w:rPr>
          <w:rFonts w:eastAsia="Times New Roman" w:cs="Arial" w:ascii="Arial" w:hAnsi="Arial"/>
          <w:b w:val="false"/>
          <w:bCs w:val="false"/>
          <w:color w:val="auto"/>
          <w:sz w:val="24"/>
          <w:szCs w:val="24"/>
          <w:lang w:val="en-US" w:eastAsia="zh-CN" w:bidi="ar-SA"/>
        </w:rPr>
        <w:t>k^1)</w:t>
      </w:r>
      <w:r>
        <w:rPr>
          <w:rFonts w:eastAsia="Times New Roman" w:cs="Arial" w:ascii="Arial" w:hAnsi="Arial"/>
          <w:bCs/>
          <w:color w:val="auto"/>
          <w:sz w:val="24"/>
          <w:szCs w:val="24"/>
          <w:lang w:val="en-US" w:eastAsia="zh-CN" w:bidi="ar-SA"/>
        </w:rPr>
        <w:t>, impozitul pe venit se calculează prin reţinere la sursă, la fiecare plată, de către CEC Bank - S.A. pe baza datelor și informațiilor furnizate de Autoritatea Naţională pentru Restituirea Proprietăţilor,   prin aplicarea cotei de 10% asupra venitului brut.”</w:t>
      </w:r>
    </w:p>
    <w:p>
      <w:pPr>
        <w:pStyle w:val="Normal"/>
        <w:spacing w:lineRule="auto" w:line="240" w:before="120" w:after="0"/>
        <w:ind w:firstLine="720"/>
        <w:jc w:val="both"/>
        <w:rPr/>
      </w:pPr>
      <w:r>
        <w:rPr>
          <w:rFonts w:cs="Arial" w:ascii="Arial" w:hAnsi="Arial"/>
          <w:sz w:val="26"/>
          <w:szCs w:val="26"/>
          <w:lang w:val="ro-RO"/>
        </w:rPr>
        <w:t>7. La articolul 132 alineatul (2) se modifică şi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(2) Plătitorii de venituri cu regim de reținere la sursă a impozitelor au obligația să depună o declarație privind calcularea și reținerea impozitului pentru fiecare beneficiar de venit la organul fiscal competent, până în ultima zi a lunii februarie inclusiv a anului curent pentru anul expirat, cu excepția plătitorilor de venituri din salarii și asimilate salariilor, plătitorilor de venituri din pensii, plătitorilor de venituri din drepturi de proprietate intelectuală, plătitorilor de venituri în baza contractelor de activitate sportivă, venituri din arendă sau din asocieri cu persoane juridice, aceștia având obligația depunerii Declarației privind obligațiile de plată a contribuțiilor sociale, impozitului pe venit și evidența nominală a persoanelor asigurate.”</w:t>
      </w:r>
    </w:p>
    <w:p>
      <w:pPr>
        <w:pStyle w:val="Normal"/>
        <w:spacing w:lineRule="auto" w:line="240" w:before="120" w:after="0"/>
        <w:ind w:firstLine="720"/>
        <w:jc w:val="both"/>
        <w:rPr/>
      </w:pPr>
      <w:r>
        <w:rPr>
          <w:rFonts w:cs="Arial" w:ascii="Arial" w:hAnsi="Arial"/>
          <w:sz w:val="26"/>
          <w:szCs w:val="26"/>
          <w:lang w:val="ro-RO"/>
        </w:rPr>
        <w:t>8. La articolul 139 alineatul (1), după litera s) se introduce o nouă literă, lit. ș),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ș) valoarea nominală a tichetelor cadou prevăzute la art. 76 alin. (3) lit. h), acordate de către angajatori potrivit legii;”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pPr>
      <w:r>
        <w:rPr>
          <w:rFonts w:cs="Arial" w:ascii="Arial" w:hAnsi="Arial"/>
          <w:sz w:val="26"/>
          <w:szCs w:val="26"/>
          <w:lang w:val="ro-RO"/>
        </w:rPr>
        <w:t>9. La articolul 142, literele b) și r) se modifică și vor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b) ajutoarele de înmormântare, ajutoarele pentru bolile grave şi incurabile, ajutoarele pentru dispozitive medicale, ajutoarele pentru naştere/adopţie, ajutoarele pentru pierderi produse în gospodăriile proprii ca urmare a calamităţilor naturale, veniturile reprezentând cadouri în bani şi/sau în natură, inclusiv tichete cadou, oferite salariaţilor, precum şi cele oferite pentru copiii minori ai acestora, contravaloarea transportului la şi de la locul de muncă al salariatului, contravaloarea serviciilor turistice şi/sau de tratament, inclusiv transportul, pe perioada concediului, pentru salariaţii proprii şi membrii de familie ai acestora, acordate de angajator pentru salariaţii proprii sau alte persoane, astfel cum este prevăzut în contractul de muncă sau în regulamentul intern.</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Nu se cuprind în baza de calcul al contribuţiei nici veniturile de natura celor prevăzute mai sus, realizate de persoane fizice, dacă aceste venituri sunt primite în baza unor legi speciale şi/sau finanţate din buget, cu excepţia indemnizaţiilor de vacanţă acordate potrivit legii.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În cazul cadourilor în bani şi/sau în natură, inclusiv tichetele cadou, oferite de angajatori, veniturile nu sunt cuprinse în baza de calcul al contribuţiei în măsura în care valoarea acestora pentru fiecare persoană în parte, cu fiecare ocazie din cele de mai jos, nu depăşeşte 300 de lei: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 cadouri oferite angajaţilor, precum şi cele oferite pentru copiii minori ai acestora, cu ocazia Paştelui, Crăciunului şi a sărbătorilor similare ale altor culte religioase;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(ii) cadouri oferite angajatelor cu ocazia zilei de 8 martie;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(iii) cadouri oferite angajaţilor în beneficiul copiilor minori ai acestora cu ocazia zilei de 1 iunie.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Contravaloarea serviciilor turistice şi/sau de tratament, inclusiv transportul, pe perioada concediului, pentru angajaţii proprii şi membrii de familie ai acestora, acordate de angajator, astfel cum este prevăzut în contractul de muncă, regulamentul intern, sau primite în baza unor legi speciale şi/sau finanţate din buget, nu se cuprinde în baza de calcul, în măsura în care valoarea totală a acestora nu depăşeşte într-un an fiscal, pentru fiecare angajat, nivelul unui câştig salarial mediu brut utilizat la fundamentarea bugetului asigurărilor sociale de stat pe anul în care au fost acordate.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r) biletele de valoare sub forma tichetelor de masă, voucherelor de vacanţă, tichetelor de creşă, tichetelor culturale, acordate potrivit legii;”</w:t>
      </w:r>
    </w:p>
    <w:p>
      <w:pPr>
        <w:pStyle w:val="Normal"/>
        <w:spacing w:lineRule="auto" w:line="240" w:before="120" w:after="0"/>
        <w:ind w:firstLine="720"/>
        <w:jc w:val="both"/>
        <w:rPr/>
      </w:pPr>
      <w:r>
        <w:rPr>
          <w:rFonts w:cs="Arial" w:ascii="Arial" w:hAnsi="Arial"/>
          <w:sz w:val="26"/>
          <w:szCs w:val="26"/>
          <w:lang w:val="ro-RO"/>
        </w:rPr>
        <w:t>10. La articolul 142, după litera z) se introduce o nouă literă, litera aa)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aa) sumele reprezentând dobânzi şi actualizarea cu indicele de inflaţie, stabilite în baza unor hotărâri judecătoreşti rămase definitive şi irevocabile/hotărâri judecătoreşti definitive şi executorii, inclusiv cele acordate potrivit hotărârilor primei instanţe, executorii de drept, sau potrivit legii, după caz, acordate în legătură cu salariile, soldele, pensiile sau alte drepturi de asigurări sociale, inclusiv  diferenţe ale acestora;”</w:t>
      </w:r>
    </w:p>
    <w:p>
      <w:pPr>
        <w:pStyle w:val="Normal"/>
        <w:spacing w:lineRule="auto" w:line="240" w:before="120" w:after="0"/>
        <w:ind w:firstLine="720"/>
        <w:jc w:val="both"/>
        <w:rPr/>
      </w:pPr>
      <w:r>
        <w:rPr>
          <w:rFonts w:cs="Arial" w:ascii="Arial" w:hAnsi="Arial"/>
          <w:sz w:val="26"/>
          <w:szCs w:val="26"/>
          <w:lang w:val="ro-RO"/>
        </w:rPr>
        <w:t>11. La articolul 153 alineatul (1), după litera f^1) se introduc două noi litere, litera f^2) și f^3) cu următorul cuprins:</w:t>
      </w:r>
    </w:p>
    <w:p>
      <w:pPr>
        <w:pStyle w:val="Normal"/>
        <w:spacing w:lineRule="auto" w:line="240" w:before="120" w:after="0"/>
        <w:jc w:val="both"/>
        <w:rPr/>
      </w:pPr>
      <w:r>
        <w:rPr>
          <w:rFonts w:cs="Arial" w:ascii="Arial" w:hAnsi="Arial"/>
          <w:sz w:val="26"/>
          <w:szCs w:val="26"/>
          <w:lang w:val="ro-RO"/>
        </w:rPr>
        <w:tab/>
        <w:t>”f^2) Casa Naţională de Pensii Publice, prin casele teritoriale de pensii precum și casele sectoriale de pensii, pentru persoanele care realizează venituri din pensii;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f^3) entităţile care plătesc venituri din pensii, altele decât cele prevăzute la lit. f^2);”</w:t>
      </w:r>
    </w:p>
    <w:p>
      <w:pPr>
        <w:pStyle w:val="Normal"/>
        <w:spacing w:lineRule="auto" w:line="240" w:before="120" w:after="0"/>
        <w:ind w:firstLine="720"/>
        <w:jc w:val="both"/>
        <w:rPr/>
      </w:pPr>
      <w:r>
        <w:rPr>
          <w:rFonts w:cs="Arial" w:ascii="Arial" w:hAnsi="Arial"/>
          <w:sz w:val="26"/>
          <w:szCs w:val="26"/>
          <w:lang w:val="ro-RO"/>
        </w:rPr>
        <w:t>12. La articolul 154 alineatul (1), litera (h) se modifică și va avea următorul cuprins:</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“h) persoanele fizice care au calitatea de pensionari, pentru veniturile din pensii, de până la suma de 4.000 de lei lunar, inclusiv, precum şi pentru veniturile realizate din drepturi de proprietate intelectuală;”</w:t>
      </w:r>
    </w:p>
    <w:p>
      <w:pPr>
        <w:pStyle w:val="Normal"/>
        <w:spacing w:lineRule="auto" w:line="240" w:before="120" w:after="0"/>
        <w:ind w:firstLine="720"/>
        <w:jc w:val="both"/>
        <w:rPr/>
      </w:pPr>
      <w:r>
        <w:rPr>
          <w:rFonts w:cs="Arial" w:ascii="Arial" w:hAnsi="Arial"/>
          <w:sz w:val="26"/>
          <w:szCs w:val="26"/>
          <w:lang w:val="ro-RO"/>
        </w:rPr>
        <w:t>13. La articolul 155 alineatul (1), după litera a) se introduce o nouă literă, litera a^1)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 xml:space="preserve">a^1) venituri din pensii, definite conform art. 99, pentru partea care depășește suma lunară de 4.000 de lei;”  </w:t>
      </w:r>
    </w:p>
    <w:p>
      <w:pPr>
        <w:pStyle w:val="Normal"/>
        <w:spacing w:lineRule="auto" w:line="240" w:before="120" w:after="0"/>
        <w:ind w:firstLine="720"/>
        <w:jc w:val="both"/>
        <w:rPr/>
      </w:pPr>
      <w:r>
        <w:rPr>
          <w:rFonts w:cs="Arial" w:ascii="Arial" w:hAnsi="Arial"/>
          <w:sz w:val="26"/>
          <w:szCs w:val="26"/>
          <w:lang w:val="ro-RO"/>
        </w:rPr>
        <w:t>14. Titlul secțiuni a 3 - a a capitolului III al titlului V "Contribuții sociale obligatorii"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 xml:space="preserve">Baza de calcul al contribuției de asigurări sociale de sănătate datorate în cazul persoanelor care realizează venituri din salarii sau asimilate salariilor, venituri din pensii, precum și în cazul persoanelor aflate sub protecția sau în custodia statului” </w:t>
      </w:r>
    </w:p>
    <w:p>
      <w:pPr>
        <w:pStyle w:val="Normal"/>
        <w:spacing w:lineRule="auto" w:line="240" w:before="120" w:after="0"/>
        <w:ind w:firstLine="720"/>
        <w:jc w:val="both"/>
        <w:rPr/>
      </w:pPr>
      <w:r>
        <w:rPr>
          <w:rFonts w:cs="Arial" w:ascii="Arial" w:hAnsi="Arial"/>
          <w:sz w:val="26"/>
          <w:szCs w:val="26"/>
          <w:lang w:val="ro-RO"/>
        </w:rPr>
        <w:t>15. La articolul 157 alineatul (1), după litera t) se introduce o nouă literă, lit. ț), cu următorul cuprins:</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ț) valoarea nominală a tichetelor cadou prevăzute la art.76 alin.(3) lit. h), acordate de angajatori, potrivit legii;”</w:t>
      </w:r>
    </w:p>
    <w:p>
      <w:pPr>
        <w:pStyle w:val="Normal"/>
        <w:spacing w:lineRule="auto" w:line="240" w:before="120" w:after="0"/>
        <w:ind w:firstLine="720"/>
        <w:jc w:val="both"/>
        <w:rPr/>
      </w:pPr>
      <w:r>
        <w:rPr>
          <w:rFonts w:cs="Arial" w:ascii="Arial" w:hAnsi="Arial"/>
          <w:sz w:val="26"/>
          <w:szCs w:val="26"/>
          <w:lang w:val="ro-RO"/>
        </w:rPr>
        <w:t>16. După articolul 157^2 se introduce un nou articol, articolul 157^3,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 xml:space="preserve">"ART. 157^3 Baza lunară de calcul al contribuţiei de asigurări sociale de sănătate datorate pentru persoanele fizice prevăzute la art. 155 alin. (1) lit. a^1)  </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Baza lunară de calcul al contribuţiei de asigurări sociale de sănătate, în cazul persoanelor fizice care realizează venituri din pensii, o reprezintă partea ce depășeste suma lunară de 4.000 de lei, pentru fiecare drept de pensie.”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pPr>
      <w:r>
        <w:rPr>
          <w:rFonts w:cs="Arial" w:ascii="Arial" w:hAnsi="Arial"/>
          <w:sz w:val="26"/>
          <w:szCs w:val="26"/>
          <w:lang w:val="ro-RO"/>
        </w:rPr>
        <w:t xml:space="preserve">17. Titlul secțiuni a 4-a a capitolului III al titlului V "Contribuții sociale obligatorii" se modifică și va avea următorul cuprins:”Stabilirea, plata și declararea contribuției de asigurări sociale de sănătate în cazul veniturilor din salarii și asimilate salariilor, precum și al veniturilor din pensii” </w:t>
      </w:r>
    </w:p>
    <w:p>
      <w:pPr>
        <w:pStyle w:val="Normal"/>
        <w:spacing w:lineRule="auto" w:line="240" w:before="120" w:after="0"/>
        <w:ind w:firstLine="720"/>
        <w:jc w:val="both"/>
        <w:rPr/>
      </w:pPr>
      <w:r>
        <w:rPr>
          <w:rFonts w:cs="Arial" w:ascii="Arial" w:hAnsi="Arial"/>
          <w:sz w:val="26"/>
          <w:szCs w:val="26"/>
          <w:lang w:val="ro-RO"/>
        </w:rPr>
        <w:t>18. La articolul 168, alineatele (1), (5), (7) și (7^1) se modifică și vor avea următorul cuprins:</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”(1) Persoanele fizice şi juridice care au calitatea de angajatori sau sunt asimilate acestora, precum și plătitorii de venit prevăzuți la art. 153 alin. (1) lit. f^2) și f^3), au obligaţia de a calcula şi de a reţine la sursă contribuţia de asigurări sociale de sănătate datorată de către persoanele fizice care obţin venituri din salarii și asimilate salariilor ori venituri din pensii.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(5) Calculul contribuţiei de asigurări sociale de sănătate se realizează prin aplicarea cotei prevăzute la art. 156 asupra bazei lunare de calcul menţionate la art. 157, 157^1 sau 157^3, după caz.</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(7) În cazul în care au fost acordate sume reprezentând salarii/solde sau diferenţe de salarii/solde, stabilite prin lege sau în baza unor hotărâri judecătoreşti rămase definitive şi irevocabile/hotărâri judecătoreşti definitive şi executorii, inclusiv cele acordate potrivit hotărârilor primei instanţe, executorii de drept, precum şi în cazul în care prin astfel de hotărâri s-a dispus reîncadrarea în muncă a unor persoane, sumele respective se defalcă pe lunile la care se referă şi se utilizează cotele de contribuţii de asigurări sociale de sănătate care erau în vigoare în acea perioadă. Contribuţiile de asigurări sociale de sănătate datorate potrivit legii se calculează, se reţin la data efectuării plăţii şi se plătesc până la data de 25 inclusiv a lunii următoare celei în care au fost plătite aceste sume.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(7^1) În cazul în care au fost acordate sume reprezentând pensii sau diferențe de pensii, stabilite prin lege sau în baza unor hotărâri judecătorești rămase definitive și irevocabile/hotărâri judecătorești definitive și executorii, aferente unor perioade în care se datorează contribuția individuală de asigurări sociale de sănătate/contribuția de asigurări sociale de sănătate, după caz, pentru sumele respective se utilizează cotele de contribuții în vigoare în acele perioade. Contribuțiile de asigurări sociale de sănătate datorate potrivit legii se calculează, se rețin la data efectuării plății și se plătesc până la data de 25 inclusiv a lunii următoare celei în care au fost plătite aceste sume.”</w:t>
      </w:r>
    </w:p>
    <w:p>
      <w:pPr>
        <w:pStyle w:val="Normal"/>
        <w:spacing w:lineRule="auto" w:line="240" w:before="120" w:after="0"/>
        <w:ind w:firstLine="720"/>
        <w:jc w:val="both"/>
        <w:rPr/>
      </w:pPr>
      <w:r>
        <w:rPr>
          <w:rFonts w:cs="Arial" w:ascii="Arial" w:hAnsi="Arial"/>
          <w:sz w:val="26"/>
          <w:szCs w:val="26"/>
          <w:lang w:val="ro-RO"/>
        </w:rPr>
        <w:t>19. La articolul 169, litera a) a alineatului (1) se modifică și va avea următorul cuprins:</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”(1) Următoarele categorii de persoane sunt obligate să depună lunar, până la data de 25 inclusiv a lunii următoare celei pentru care se plătesc veniturile, declaraţia prevăzută la art. 147 alin. (1):</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a) persoanele fizice şi juridice care au calitatea de angajatori sau persoanele asimilate acestora, precum și plătitorii de venit prevăzuți la art. 153 alin. (1) lit. f^2) și f^3);”</w:t>
      </w:r>
    </w:p>
    <w:p>
      <w:pPr>
        <w:pStyle w:val="Normal"/>
        <w:spacing w:lineRule="auto" w:line="240" w:before="120" w:after="0"/>
        <w:ind w:firstLine="720"/>
        <w:jc w:val="both"/>
        <w:rPr/>
      </w:pPr>
      <w:r>
        <w:rPr>
          <w:rFonts w:cs="Arial" w:ascii="Arial" w:hAnsi="Arial"/>
          <w:sz w:val="26"/>
          <w:szCs w:val="26"/>
          <w:lang w:val="ro-RO"/>
        </w:rPr>
        <w:t>20. După articolul 169^1 se introduce un nou articol, articolul 169^2, cu următorul cuprins:</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”Art. 169^2 – Obligații declarative pentru persoanele fizice care obțin din străinătate venituri din pensii prevăzute la art. 155 litera a^1)</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Persoanele fizice care obțin din străinătate venituri din pensii pentru care se datorează contribuția de asigurări sociale de sănătate au obligația să depună declarația prevăzută la art. 122, cu respectarea prevederilor legislației europene aplicabile în domeniul securității sociale, precum și a acordurilor privind sistemele de securitate socială la care România este parte.”</w:t>
      </w:r>
    </w:p>
    <w:p>
      <w:pPr>
        <w:pStyle w:val="Normal"/>
        <w:spacing w:lineRule="auto" w:line="240" w:before="120" w:after="0"/>
        <w:ind w:firstLine="720"/>
        <w:jc w:val="both"/>
        <w:rPr/>
      </w:pPr>
      <w:r>
        <w:rPr>
          <w:rFonts w:cs="Arial" w:ascii="Arial" w:hAnsi="Arial"/>
          <w:sz w:val="26"/>
          <w:szCs w:val="26"/>
          <w:lang w:val="ro-RO"/>
        </w:rPr>
        <w:t>21. La articolul 220^4 alineatul (1), după litera l) se introduce o nouă literă, lit. m), cu următorul cuprins:</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m) valoarea nominală a tichetelor cadou prevăzute la art. 76 alin. (3) lit. h), acordate de angajatori potrivit legii;”</w:t>
      </w:r>
    </w:p>
    <w:p>
      <w:pPr>
        <w:pStyle w:val="Normal"/>
        <w:spacing w:lineRule="auto" w:line="240" w:before="120" w:after="0"/>
        <w:ind w:firstLine="720"/>
        <w:jc w:val="both"/>
        <w:rPr/>
      </w:pPr>
      <w:r>
        <w:rPr>
          <w:rFonts w:cs="Arial" w:ascii="Arial" w:hAnsi="Arial"/>
          <w:sz w:val="26"/>
          <w:szCs w:val="26"/>
          <w:lang w:val="ro-RO"/>
        </w:rPr>
        <w:t>22. La articolul 291 alineatul (3) litera c), punctul 3 se modifică și va avea următorul cuprins:</w:t>
      </w:r>
    </w:p>
    <w:p>
      <w:pPr>
        <w:pStyle w:val="Normal"/>
        <w:spacing w:lineRule="auto" w:line="240" w:before="120" w:after="0"/>
        <w:ind w:firstLine="720"/>
        <w:jc w:val="both"/>
        <w:rPr/>
      </w:pPr>
      <w:r>
        <w:rPr>
          <w:rFonts w:cs="Arial" w:ascii="Arial" w:hAnsi="Arial"/>
          <w:sz w:val="26"/>
          <w:szCs w:val="26"/>
          <w:lang w:val="ro-RO"/>
        </w:rPr>
        <w:t>"3.</w:t>
      </w:r>
      <w:r>
        <w:rPr>
          <w:rFonts w:cs="Arial" w:ascii="Arial" w:hAnsi="Arial"/>
          <w:sz w:val="26"/>
          <w:szCs w:val="26"/>
        </w:rPr>
        <w:t xml:space="preserve"> livrarea de locuințe care au o suprafață utilă de maximum 120 mp, exclusiv anexele gospodărești, a căror valoare, inclusiv a terenului pe care sunt construite, nu depășește suma de 450.000 lei, exclusiv taxa pe valoarea adăugată, achiziționate de persoane fizice. Suprafața utilă a locuinței este cea definită prin Legea nr. 114/1996, republicată, cu modificările și completările ulterioare. Anexele gospodărești sunt cele definite prin Legea nr. 50/1991 privind autorizarea executării lucrărilor de construcții, republicată, cu modificările și completările ulterioare. Cota redusă se aplică numai în cazul locuințelor care în momentul </w:t>
      </w:r>
      <w:r>
        <w:rPr>
          <w:rFonts w:cs="Arial" w:ascii="Arial" w:hAnsi="Arial"/>
          <w:sz w:val="26"/>
          <w:szCs w:val="26"/>
          <w:lang w:val="ro-RO"/>
        </w:rPr>
        <w:t xml:space="preserve"> livrării </w:t>
      </w:r>
      <w:r>
        <w:rPr>
          <w:rFonts w:cs="Arial" w:ascii="Arial" w:hAnsi="Arial"/>
          <w:sz w:val="26"/>
          <w:szCs w:val="26"/>
        </w:rPr>
        <w:t>pot fi locuite ca atare;</w:t>
      </w:r>
      <w:r>
        <w:rPr>
          <w:rFonts w:cs="Arial" w:ascii="Arial" w:hAnsi="Arial"/>
          <w:sz w:val="26"/>
          <w:szCs w:val="26"/>
          <w:lang w:val="ro-RO"/>
        </w:rPr>
        <w:t>”</w:t>
      </w:r>
    </w:p>
    <w:p>
      <w:pPr>
        <w:pStyle w:val="Normal"/>
        <w:spacing w:lineRule="auto" w:line="240" w:before="120" w:after="0"/>
        <w:ind w:firstLine="720"/>
        <w:jc w:val="both"/>
        <w:rPr/>
      </w:pPr>
      <w:r>
        <w:rPr>
          <w:rFonts w:cs="Arial" w:ascii="Arial" w:hAnsi="Arial"/>
          <w:sz w:val="26"/>
          <w:szCs w:val="26"/>
          <w:lang w:val="ro-RO"/>
        </w:rPr>
        <w:t>23. La articolul 291 alineatul (3) litera c), după punctul 4, se introduce un nou punct, punctul 5, cu următorul cuprins:</w:t>
      </w:r>
    </w:p>
    <w:p>
      <w:pPr>
        <w:pStyle w:val="Normal"/>
        <w:spacing w:lineRule="auto" w:line="240" w:before="120" w:after="0"/>
        <w:ind w:firstLine="720"/>
        <w:jc w:val="both"/>
        <w:rPr/>
      </w:pPr>
      <w:r>
        <w:rPr>
          <w:rFonts w:cs="Arial" w:ascii="Arial" w:hAnsi="Arial"/>
          <w:sz w:val="26"/>
          <w:szCs w:val="26"/>
          <w:lang w:val="ro-RO"/>
        </w:rPr>
        <w:t xml:space="preserve">5. livrarea de locuinţe care au o suprafaţă utilă de maximum 120 mp, exclusiv anexele gospodăreşti, a căror valoare, inclusiv a terenului pe care sunt construite, depășește suma de 450.000 lei, dar nu depăşeşte suma de 700.000 lei, exclusiv taxa pe valoarea adăugată, achiziţionate de persoane fizice în mod individual sau în comun cu altă persoană fizică/alte persoane fizice. Suprafaţa utilă a locuinţei este cea definită prin Legea locuinţei nr. 114/1996, republicată, cu modificările şi completările ulterioare. Anexele gospodăreşti sunt cele definite prin Legea nr. 50/1991 privind autorizarea executării lucrărilor de construcţii, republicată, cu modificările şi completările ulterioare. Cota redusă se aplică numai în cazul locuinţelor care în momentul  livrării pot fi locuite ca atare. Orice persoană fizică poate achiziţiona, începând cu data de 1 ianuarie 2022, în mod individual sau în comun cu altă persoană fizică/alte persoane fizice, o singură locuință a cărei valoare depășește suma de 450.000 lei, dar nu depășește suma de 700.000 lei, exclusiv TVA, cu cota redusă de 5%;” </w:t>
      </w:r>
    </w:p>
    <w:p>
      <w:pPr>
        <w:pStyle w:val="Normal"/>
        <w:spacing w:lineRule="auto" w:line="240" w:before="120" w:after="0"/>
        <w:ind w:firstLine="720"/>
        <w:jc w:val="both"/>
        <w:rPr/>
      </w:pPr>
      <w:r>
        <w:rPr>
          <w:rFonts w:cs="Arial" w:ascii="Arial" w:hAnsi="Arial"/>
          <w:sz w:val="26"/>
          <w:szCs w:val="26"/>
          <w:lang w:val="ro-RO"/>
        </w:rPr>
        <w:t>24. La articolul 291 alineatul (3), după litera n) se introduce o nouă literă, litera o),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"o) livrarea de energie termică în sezonul rece, destinată următoarelor categorii de consumatori: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1. populaţie;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2. spitale publice şi private, definite conform Legii nr. 95/2006 privind reforma în domeniul sănătăţii, republicată, cu modificările şi completările ulterioare, unităţi de învăţământ publice și private, definite conform Legii educaţiei naţionale nr. 1/2011, cu modificările şi completările ulterioare;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3. organizaţii neguvernamentale reglementate potrivit legii, precum şi unităţile de cult, astfel cum sunt reglementate de Legea nr. 489/2006 privind libertatea religioasă şi regimul general al cultelor, republicată;</w:t>
      </w:r>
    </w:p>
    <w:p>
      <w:pPr>
        <w:pStyle w:val="Normal"/>
        <w:spacing w:lineRule="auto" w:line="240" w:before="120" w:after="0"/>
        <w:jc w:val="both"/>
        <w:rPr/>
      </w:pPr>
      <w:r>
        <w:rPr>
          <w:rFonts w:cs="Arial" w:ascii="Arial" w:hAnsi="Arial"/>
          <w:sz w:val="26"/>
          <w:szCs w:val="26"/>
          <w:lang w:val="ro-RO"/>
        </w:rPr>
        <w:t>4. furnizori de servicii sociale, publici şi privaţi, acreditați, care prestează servicii sociale prevăzute în Nomenclatorul serviciilor sociale, aprobat prin Hotărârea Guvernului nr. 867/2015 pentru aprobarea Nomenclatorului serviciilor sociale, precum şi a regulamentelor-cadru de organizare şi funcţionare a serviciilor sociale, cu modificările şi completările ulterioare.”</w:t>
      </w:r>
    </w:p>
    <w:p>
      <w:pPr>
        <w:pStyle w:val="Normal"/>
        <w:spacing w:lineRule="auto" w:line="240" w:before="120" w:after="0"/>
        <w:ind w:firstLine="720"/>
        <w:jc w:val="both"/>
        <w:rPr/>
      </w:pPr>
      <w:r>
        <w:rPr>
          <w:rFonts w:cs="Arial" w:ascii="Arial" w:hAnsi="Arial"/>
          <w:sz w:val="26"/>
          <w:szCs w:val="26"/>
          <w:lang w:val="ro-RO"/>
        </w:rPr>
        <w:t xml:space="preserve">25. La articolul 291, după alineatul (3) se introduc două noi alineate, alineatele (3^1) și (3^2), cu următorul cuprins: </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(3^1) Se organizează “Registrul achizițiilor de locuințe cu cota redusă de TVA de 5%”, în format electronic, pe baza informațiilor din actele juridice între vii care au ca obiect transferul dreptului de proprietate pentru locuințele prevăzute la alin. (3) lit. c) pct. 3 și 5, autentificate începând cu data de 1 ianuarie 2022. Notarii publici au obligația:</w:t>
      </w:r>
    </w:p>
    <w:p>
      <w:pPr>
        <w:pStyle w:val="Normal"/>
        <w:spacing w:lineRule="auto" w:line="240" w:before="120" w:after="0"/>
        <w:ind w:firstLine="720"/>
        <w:jc w:val="both"/>
        <w:rPr/>
      </w:pPr>
      <w:r>
        <w:rPr>
          <w:rFonts w:cs="Arial" w:ascii="Arial" w:hAnsi="Arial"/>
          <w:sz w:val="26"/>
          <w:szCs w:val="26"/>
          <w:lang w:val="ro-RO"/>
        </w:rPr>
        <w:t>a) să verifice îndeplinirea condiției referitoare la achiziția unei singure locuințe a cărei valoare depășește suma de 450.000 lei, dar nu depășește suma de 700.000 lei, exclusiv TVA, cu cota redusă de TVA de 5%, prin consultarea “Registrului achizițiilor de locuințe cu cota redusă de TVA de 5%”, înainte de autentificarea actelor juridice între vii care au ca obiect transferul dreptului de proprietate sau plata în avans pentru achiziția unei astfel de locuințe și, în situația în care constată că nu este îndeplinită această condiție, să le autentifice</w:t>
      </w:r>
      <w:r>
        <w:rPr>
          <w:rFonts w:cs="Arial" w:ascii="Arial" w:hAnsi="Arial"/>
          <w:sz w:val="26"/>
          <w:szCs w:val="26"/>
        </w:rPr>
        <w:t xml:space="preserve"> </w:t>
      </w:r>
      <w:r>
        <w:rPr>
          <w:rFonts w:cs="Arial" w:ascii="Arial" w:hAnsi="Arial"/>
          <w:sz w:val="26"/>
          <w:szCs w:val="26"/>
          <w:lang w:val="ro-RO"/>
        </w:rPr>
        <w:t>doar dacă livrarea se efectuează cu cota standard de TVA;</w:t>
      </w:r>
    </w:p>
    <w:p>
      <w:pPr>
        <w:pStyle w:val="Normal"/>
        <w:spacing w:lineRule="auto" w:line="240" w:before="120" w:after="0"/>
        <w:ind w:firstLine="720"/>
        <w:jc w:val="both"/>
        <w:rPr/>
      </w:pPr>
      <w:r>
        <w:rPr>
          <w:rFonts w:cs="Arial" w:ascii="Arial" w:hAnsi="Arial"/>
          <w:sz w:val="26"/>
          <w:szCs w:val="26"/>
          <w:lang w:val="ro-RO"/>
        </w:rPr>
        <w:t>b) să completeze “Registrul achizițiilor de locuințe cu cota redusă de TVA de 5%”, la data autentificării actelor juridice între vii care au ca obiect transferul dreptului de proprietate pentru locuințele prevăzute la alin. (3) lit. c) pct. 3 și 5;</w:t>
      </w:r>
    </w:p>
    <w:p>
      <w:pPr>
        <w:pStyle w:val="Normal"/>
        <w:spacing w:lineRule="auto" w:line="240" w:before="120" w:after="0"/>
        <w:ind w:firstLine="720"/>
        <w:jc w:val="both"/>
        <w:rPr/>
      </w:pPr>
      <w:r>
        <w:rPr>
          <w:rFonts w:cs="Arial" w:ascii="Arial" w:hAnsi="Arial"/>
          <w:sz w:val="26"/>
          <w:szCs w:val="26"/>
          <w:lang w:val="ro-RO"/>
        </w:rPr>
        <w:t>c) să înscrie, în actele juridice între vii care au ca obiect transferul dreptului de proprietate sau plata în avans pentru achiziția unei locuințe prevăzute la alin. (3) lit. c) pct. 5, mențiuni cu privire la respectarea obligațiilor de la lit. a) și, după caz, de la lit. b);</w:t>
      </w:r>
    </w:p>
    <w:p>
      <w:pPr>
        <w:pStyle w:val="Normal"/>
        <w:spacing w:lineRule="auto" w:line="240" w:before="120" w:after="0"/>
        <w:ind w:firstLine="720"/>
        <w:jc w:val="both"/>
        <w:rPr/>
      </w:pPr>
      <w:r>
        <w:rPr>
          <w:rFonts w:cs="Arial" w:ascii="Arial" w:hAnsi="Arial"/>
          <w:sz w:val="26"/>
          <w:szCs w:val="26"/>
          <w:lang w:val="ro-RO"/>
        </w:rPr>
        <w:t>d) să înscrie, în actele juridice între vii care au ca obiect transferul dreptului de proprietate pentru locuințele prevăzute la alin. (3) lit. c) pct. 3, mențiuni cu privire la respectarea obligației de la lit. b);</w:t>
      </w:r>
    </w:p>
    <w:p>
      <w:pPr>
        <w:pStyle w:val="Normal"/>
        <w:spacing w:lineRule="auto" w:line="240" w:before="120" w:after="0"/>
        <w:ind w:firstLine="720"/>
        <w:jc w:val="both"/>
        <w:rPr/>
      </w:pPr>
      <w:r>
        <w:rPr>
          <w:rFonts w:cs="Arial" w:ascii="Arial" w:hAnsi="Arial"/>
          <w:sz w:val="26"/>
          <w:szCs w:val="26"/>
          <w:lang w:val="ro-RO"/>
        </w:rPr>
        <w:t xml:space="preserve">e) să înscrie, în actele juridice între vii care au ca obiect transferul dreptului de proprietate sau plata în avans pentru locuințele prevăzute la alin. (3) lit. c) pct. 3 și 5, cota de TVA aplicată, indiferent dacă TVA se aplică la preț sau este inclusă în preț. </w:t>
      </w:r>
    </w:p>
    <w:p>
      <w:pPr>
        <w:pStyle w:val="Normal"/>
        <w:spacing w:lineRule="auto" w:line="240" w:before="120" w:after="0"/>
        <w:ind w:firstLine="720"/>
        <w:jc w:val="both"/>
        <w:rPr/>
      </w:pPr>
      <w:r>
        <w:rPr>
          <w:rFonts w:cs="Arial" w:ascii="Arial" w:hAnsi="Arial"/>
          <w:sz w:val="26"/>
          <w:szCs w:val="26"/>
          <w:lang w:val="ro-RO"/>
        </w:rPr>
        <w:t xml:space="preserve"> </w:t>
      </w:r>
      <w:r>
        <w:rPr>
          <w:rFonts w:cs="Arial" w:ascii="Arial" w:hAnsi="Arial"/>
          <w:sz w:val="26"/>
          <w:szCs w:val="26"/>
          <w:lang w:val="ro-RO"/>
        </w:rPr>
        <w:t>(3^2) Prin sezon rece, în sensul prevederilor alin. (3) lit. o), se înțelege perioada de 5 luni cuprinsă între data de 1 noiembrie a anului curent și data de 31 martie a anului următor.”</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rFonts w:ascii="Arial" w:hAnsi="Arial" w:cs="Arial"/>
          <w:sz w:val="26"/>
          <w:szCs w:val="26"/>
          <w:lang w:val="ro-RO"/>
        </w:rPr>
      </w:pPr>
      <w:r>
        <w:rPr>
          <w:rFonts w:cs="Arial" w:ascii="Arial" w:hAnsi="Arial"/>
          <w:b/>
          <w:sz w:val="26"/>
          <w:szCs w:val="26"/>
          <w:lang w:val="ro-RO"/>
        </w:rPr>
        <w:t xml:space="preserve">ART. XXV </w:t>
      </w:r>
      <w:r>
        <w:rPr>
          <w:rFonts w:cs="Arial" w:ascii="Arial" w:hAnsi="Arial"/>
          <w:sz w:val="26"/>
          <w:szCs w:val="26"/>
          <w:lang w:val="ro-RO"/>
        </w:rPr>
        <w:t>–  (1) Prin derogare de la prevederile art. 4 din Legea nr. 227/2015 privind Codul fiscal, cu modificările şi completările ulterioare, prevederile art. XXIV intră în vigoare la data publicării prezentei ordonanțe de urgență în Monitorul Oficial al României, Partea I, cu următoarele excepții:</w:t>
      </w:r>
    </w:p>
    <w:p>
      <w:pPr>
        <w:pStyle w:val="Normal"/>
        <w:spacing w:lineRule="auto" w:line="240" w:before="120" w:after="0"/>
        <w:jc w:val="both"/>
        <w:rPr/>
      </w:pPr>
      <w:r>
        <w:rPr>
          <w:rFonts w:cs="Arial" w:ascii="Arial" w:hAnsi="Arial"/>
          <w:sz w:val="26"/>
          <w:szCs w:val="26"/>
          <w:lang w:val="ro-RO"/>
        </w:rPr>
        <w:tab/>
        <w:t>a) prevederile pct.  22-25 intră în vigoare la data de 1 ianuarie 2022;</w:t>
      </w:r>
    </w:p>
    <w:p>
      <w:pPr>
        <w:pStyle w:val="Normal"/>
        <w:spacing w:lineRule="auto" w:line="240" w:before="120" w:after="0"/>
        <w:ind w:firstLine="720"/>
        <w:jc w:val="both"/>
        <w:rPr>
          <w:rFonts w:ascii="Calibri" w:hAnsi="Calibri" w:eastAsia="Calibri" w:cs="" w:asciiTheme="minorHAnsi" w:cstheme="minorBidi" w:eastAsiaTheme="minorHAnsi" w:hAnsiTheme="minorHAnsi"/>
        </w:rPr>
      </w:pPr>
      <w:r>
        <w:rPr>
          <w:rFonts w:cs="Arial" w:ascii="Arial" w:hAnsi="Arial"/>
          <w:sz w:val="26"/>
          <w:szCs w:val="26"/>
          <w:lang w:val="ro-RO"/>
        </w:rPr>
        <w:t>b) prevederile pct. 1,8,9,15,21 se aplică începând cu veniturile aferente lunii următoare publicării în Monitorul Oficial al României, Partea I, a prezentei ordonanțe de urgență;</w:t>
      </w:r>
    </w:p>
    <w:p>
      <w:pPr>
        <w:pStyle w:val="Normal"/>
        <w:spacing w:lineRule="auto" w:line="240" w:before="120" w:after="0"/>
        <w:ind w:firstLine="720"/>
        <w:jc w:val="both"/>
        <w:rPr>
          <w:rFonts w:ascii="Calibri" w:hAnsi="Calibri" w:eastAsia="Calibri" w:cs="" w:asciiTheme="minorHAnsi" w:cstheme="minorBidi" w:eastAsiaTheme="minorHAnsi" w:hAnsiTheme="minorHAnsi"/>
        </w:rPr>
      </w:pPr>
      <w:r>
        <w:rPr>
          <w:rFonts w:cs="Arial" w:ascii="Arial" w:hAnsi="Arial"/>
          <w:sz w:val="26"/>
          <w:szCs w:val="26"/>
          <w:lang w:val="ro-RO"/>
        </w:rPr>
        <w:t>c) prevederile pct.  2,3,4,7,12,13,16, 18 referitor la alineatele (1) și (5) ale art. 168 și pct. 19 se aplică veniturilor realizate începând cu data de 01 ianuarie 2022;</w:t>
      </w:r>
    </w:p>
    <w:p>
      <w:pPr>
        <w:pStyle w:val="Normal"/>
        <w:spacing w:lineRule="auto" w:line="240" w:before="120" w:after="0"/>
        <w:ind w:firstLine="720"/>
        <w:jc w:val="both"/>
        <w:rPr>
          <w:rFonts w:ascii="Calibri" w:hAnsi="Calibri" w:eastAsia="Calibri" w:cs="" w:asciiTheme="minorHAnsi" w:cstheme="minorBidi" w:eastAsiaTheme="minorHAnsi" w:hAnsiTheme="minorHAnsi"/>
        </w:rPr>
      </w:pPr>
      <w:r>
        <w:rPr>
          <w:rFonts w:cs="Arial" w:ascii="Arial" w:hAnsi="Arial"/>
          <w:sz w:val="26"/>
          <w:szCs w:val="26"/>
          <w:lang w:val="ro-RO"/>
        </w:rPr>
        <w:t>d) prevederile pct.  20 se aplică începând cu veniturile obținute în anul 2022.</w:t>
      </w:r>
    </w:p>
    <w:p>
      <w:pPr>
        <w:pStyle w:val="Normal"/>
        <w:spacing w:lineRule="auto" w:line="240" w:before="120" w:after="0"/>
        <w:ind w:firstLine="720"/>
        <w:jc w:val="both"/>
        <w:rPr>
          <w:sz w:val="26"/>
          <w:szCs w:val="26"/>
          <w:lang w:val="ro-RO"/>
        </w:rPr>
      </w:pPr>
      <w:r>
        <w:rPr>
          <w:rFonts w:cs="Arial" w:ascii="Arial" w:hAnsi="Arial"/>
          <w:sz w:val="26"/>
          <w:szCs w:val="26"/>
          <w:lang w:val="ro-RO"/>
        </w:rPr>
        <w:t>(2) Prevederile art. 291 alin. (3) lit. o) din Legea nr. 227/2015 privind Codul fiscal, cu modificările și completările ulterioare, se aplică pentru livrările de energie termică efectuate începând cu data de 1 ianuarie 2022.</w:t>
      </w:r>
    </w:p>
    <w:p>
      <w:pPr>
        <w:pStyle w:val="Normal"/>
        <w:spacing w:lineRule="auto" w:line="240" w:before="120" w:after="0"/>
        <w:ind w:firstLine="720"/>
        <w:jc w:val="both"/>
        <w:rPr>
          <w:sz w:val="26"/>
          <w:szCs w:val="26"/>
          <w:lang w:val="ro-RO"/>
        </w:rPr>
      </w:pPr>
      <w:r>
        <w:rPr>
          <w:rFonts w:cs="Arial" w:ascii="Arial" w:hAnsi="Arial"/>
          <w:sz w:val="26"/>
          <w:szCs w:val="26"/>
          <w:lang w:val="ro-RO"/>
        </w:rPr>
        <w:tab/>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r>
      <w:r>
        <w:rPr>
          <w:rFonts w:cs="Arial" w:ascii="Arial" w:hAnsi="Arial"/>
          <w:b/>
          <w:sz w:val="26"/>
          <w:szCs w:val="26"/>
          <w:lang w:val="ro-RO"/>
        </w:rPr>
        <w:t>ART. XXVI</w:t>
      </w:r>
      <w:r>
        <w:rPr>
          <w:rFonts w:cs="Arial" w:ascii="Arial" w:hAnsi="Arial"/>
          <w:sz w:val="26"/>
          <w:szCs w:val="26"/>
          <w:lang w:val="ro-RO"/>
        </w:rPr>
        <w:t xml:space="preserve"> - (1) Aplicarea prevederilor art. 25 alin. (4) lit. i^1) și i^2), art. 76 alin. (4) lit. x) și art. 142 lit. z) din Legea nr. 227/2015 privind Codul fiscal, cu modificările și completările ulterioare, se suspendă, începând cu data de 1 ianuarie 2022 și până la data de 31 decembrie 2022, inclusiv.</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(2) Pe perioada suspendării prevăzută la alin. (1), cheltuielile pentru funcționarea corespunzătoare a creșelor și grădinițelor aflate în administrarea contribuabililor sunt considerate cheltuieli cu deductibilitate limitată de natura celor prevăzute la art. 25 alin. (3) lit. b) din Legea nr. 227/2015, cu modificările și completările ulterioare, și intră sub incidența limitei stabilite pentru acestea, de 5% aplicată asupra valorii cheltuielilor cu salariile personalului, potrivit Legii nr.53/2003 - Codului muncii, republicată, cu modificările și completările ulterioare.</w:t>
      </w:r>
    </w:p>
    <w:p>
      <w:pPr>
        <w:pStyle w:val="Normal"/>
        <w:spacing w:lineRule="auto" w:line="240" w:before="120" w:after="0"/>
        <w:jc w:val="both"/>
        <w:rPr/>
      </w:pPr>
      <w:r>
        <w:rPr>
          <w:rFonts w:cs="Arial" w:ascii="Arial" w:hAnsi="Arial"/>
          <w:b/>
          <w:sz w:val="26"/>
          <w:szCs w:val="26"/>
          <w:lang w:val="ro-RO"/>
        </w:rPr>
        <w:tab/>
        <w:t xml:space="preserve">ART. XXVII – </w:t>
      </w:r>
      <w:r>
        <w:rPr>
          <w:rFonts w:cs="Arial" w:ascii="Arial" w:hAnsi="Arial"/>
          <w:sz w:val="26"/>
          <w:szCs w:val="26"/>
          <w:lang w:val="ro-RO"/>
        </w:rPr>
        <w:t>(1) Procedura privind organizarea “Registrului achizițiilor de locuințe cu cota redusă de TVA de 5%”, prevăzut la art. 291 alin. (3^1) din Legea nr. 227/2015 privind Codul fiscal, cu modificările şi completările ulterioare, se stabileşte prin ordin al preşedintelui Agenţiei Naţionale de Administrare Fiscală, cu consultarea Uniunii Naționale a Notarilor Publici din România, în termen de 10 zile de la data publicării prezentei ordonanţe de urgenţă în Monitorul Oficial al României, Partea I.</w:t>
      </w:r>
    </w:p>
    <w:p>
      <w:pPr>
        <w:pStyle w:val="Normal"/>
        <w:spacing w:lineRule="auto" w:line="240" w:before="120" w:after="0"/>
        <w:jc w:val="both"/>
        <w:rPr/>
      </w:pPr>
      <w:r>
        <w:rPr>
          <w:rFonts w:cs="Arial" w:ascii="Arial" w:hAnsi="Arial"/>
          <w:sz w:val="26"/>
          <w:szCs w:val="26"/>
          <w:lang w:val="ro-RO"/>
        </w:rPr>
        <w:t>(2) Până la termenul de 10 zile de la data operaționalizării “Registrului achizițiilor de locuințe cu cota redusă de TVA de 5%”, prevăzut la art. 291 alin. (3^1) din Legea nr. 227/2015 privind Codul fiscal, cu modificările şi completările ulterioare, cota redusă de TVA de 5% în cazul locuințelor a căror  valoare depășește suma de 450.000 lei, dar nu depășește suma de 700.000 lei, exclusiv TVA, se aplică pe baza declarației pe propria răspundere a cumpărătorului, autentificată de un notar, din care să rezulte că este îndeplinită condiția referitoare la achiziția unei singure locuințe cu cota redusă de TVA de 5%, care se păstrează la furnizor.</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(3)  După operaționalizarea “Registrului achizițiilor de locuințe cu cota redusă de TVA de 5%”, notarii publici au obligația ca, în maximum 10 zile, să completeze registrul cu informațiile referitoare la  actele juridice între vii care au ca obiect transferul dreptului de proprietate pentru locuințele prevăzute la alin. (3) lit. c) pct. 3 și 5 din Legea  nr. 227/2015 privind Codul fiscal, care au fost autentificate până la termenul prevăzut la alin. (2).</w:t>
      </w:r>
    </w:p>
    <w:p>
      <w:pPr>
        <w:pStyle w:val="Normal"/>
        <w:spacing w:lineRule="auto" w:line="240" w:before="240" w:after="0"/>
        <w:ind w:firstLine="720"/>
        <w:jc w:val="both"/>
        <w:rPr>
          <w:rFonts w:ascii="Arial" w:hAnsi="Arial" w:cs="Arial"/>
          <w:sz w:val="26"/>
          <w:szCs w:val="26"/>
          <w:lang w:val="ro-RO"/>
        </w:rPr>
      </w:pPr>
      <w:r>
        <w:rPr>
          <w:rFonts w:cs="Arial" w:ascii="Arial" w:hAnsi="Arial"/>
          <w:b/>
          <w:sz w:val="26"/>
          <w:szCs w:val="26"/>
          <w:lang w:val="ro-RO"/>
        </w:rPr>
        <w:t>ART. XXVIII</w:t>
      </w:r>
      <w:r>
        <w:rPr>
          <w:rFonts w:cs="Arial" w:ascii="Arial" w:hAnsi="Arial"/>
          <w:sz w:val="26"/>
          <w:szCs w:val="26"/>
          <w:lang w:val="ro-RO"/>
        </w:rPr>
        <w:t xml:space="preserve"> – (1) La data de 1 ianuarie 2022, se abrogă: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a) art. I pct. 160 și  art. VII alin. (1) lit. f)  din Legea nr. 296/2020 pentru modificarea şi completarea Legii nr. 227/2015 privind Codul fiscal, publicată în Monitorul Oficial al României, Partea I, nr. 1269 din 21 decembrie 2020, cu modificările şi completările ulterioare;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b) art. XVIII pct. 2 din Ordonanța de urgență a Guvernului nr. 226/2020 privind unele măsuri fiscal-bugetare şi pentru modificarea şi completarea unor acte normative şi prorogarea unor termene, publicată în Monitorul Oficial al României, Partea I, nr. 1332 din 31 decembrie 2020, cu modificările ulterioare;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c) art. VI din Ordonanța de urgență a Guvernului 13/2021 pentru modificarea şi completarea Legii nr. 227/2015 privind Codul fiscal şi a Legii contabilităţii nr. 82/1991, publicată în Monitorul Oficial al României, Partea I, nr. 197 din 26 februarie 2021;</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La data de 13 ianuarie 2022, se abrogă art. IV și V din Legea nr. 196/2021 pentru modificarea şi completarea Legii serviciului public de alimentare cu energie termică nr. 325/2006, pentru modificarea alin. (5) al art. 10 din Legea nr. 121/2014 privind eficienţa energetică şi pentru completarea alin. (3) al art. 291 din Legea nr. 227/2015 privind Codul fiscal, publicată în Monitorul Oficial al României, Partea I, nr. 693 din 13 iulie 2021.</w:t>
      </w:r>
    </w:p>
    <w:p>
      <w:pPr>
        <w:pStyle w:val="Normal"/>
        <w:spacing w:lineRule="auto" w:line="240" w:before="120" w:after="0"/>
        <w:ind w:firstLine="720"/>
        <w:jc w:val="both"/>
        <w:rPr/>
      </w:pPr>
      <w:r>
        <w:rPr>
          <w:rFonts w:cs="Arial" w:ascii="Arial" w:hAnsi="Arial"/>
          <w:b/>
          <w:sz w:val="26"/>
          <w:szCs w:val="26"/>
          <w:lang w:val="ro-RO"/>
        </w:rPr>
        <w:t>ART. XXIX</w:t>
      </w:r>
      <w:r>
        <w:rPr>
          <w:rFonts w:cs="Arial" w:ascii="Arial" w:hAnsi="Arial"/>
          <w:sz w:val="26"/>
          <w:szCs w:val="26"/>
          <w:lang w:val="ro-RO"/>
        </w:rPr>
        <w:t xml:space="preserve"> – (1) Ministerul Finanțelor, prin Agenția Națională de Administrare Fiscală, monitorizează transporturile de bunuri pe teritoriul național prin intermediul sistemului național privind monitorizarea transporturilor de bunuri, pus la dispoziție de către Centrul Național de Informații Financiare, denumit in continuare RO e-Transport.</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Sistemul național privind monitoriz</w:t>
      </w:r>
      <w:bookmarkStart w:id="0" w:name="_GoBack"/>
      <w:bookmarkEnd w:id="0"/>
      <w:r>
        <w:rPr>
          <w:rFonts w:cs="Arial" w:ascii="Arial" w:hAnsi="Arial"/>
          <w:sz w:val="26"/>
          <w:szCs w:val="26"/>
          <w:lang w:val="ro-RO"/>
        </w:rPr>
        <w:t>area transporturilor de bunuri RO e-Transport reprezintă ansamblul de principii, reguli și aplicații informatice având drept scop monitorizarea transporturilor de bunuri pe teritoriul național.</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Procedura de aplicare se stabilește prin ordin al ministrului finanțelor care se emite în termen de 30 de zile de la data intrării în vigoare a prezentei ordonanțe de urgență.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(4) Ministerul Finanțelor asigură resursele necesare și ia toate măsurile pentru dezvoltarea, implementarea și funcționarea sistemului național privind monitorizarea transporturilor de bunuri RO e-Transport.</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sz w:val="26"/>
          <w:szCs w:val="26"/>
          <w:lang w:val="ro-RO"/>
        </w:rPr>
      </w:pPr>
      <w:r>
        <w:rPr>
          <w:rFonts w:cs="Arial" w:ascii="Arial" w:hAnsi="Arial"/>
          <w:b/>
          <w:sz w:val="26"/>
          <w:szCs w:val="26"/>
          <w:lang w:val="ro-RO"/>
        </w:rPr>
        <w:t>ART. XXX</w:t>
      </w:r>
      <w:r>
        <w:rPr>
          <w:rFonts w:cs="Arial" w:ascii="Arial" w:hAnsi="Arial"/>
          <w:sz w:val="26"/>
          <w:szCs w:val="26"/>
          <w:lang w:val="ro-RO"/>
        </w:rPr>
        <w:t xml:space="preserve"> – Legea nr. 241/2005 pentru prevenirea și combaterea evaziunii fiscale,</w:t>
      </w:r>
      <w:r>
        <w:rPr>
          <w:sz w:val="26"/>
          <w:szCs w:val="26"/>
          <w:lang w:val="ro-RO"/>
        </w:rPr>
        <w:t xml:space="preserve"> </w:t>
      </w:r>
      <w:r>
        <w:rPr>
          <w:rFonts w:cs="Arial" w:ascii="Arial" w:hAnsi="Arial"/>
          <w:sz w:val="26"/>
          <w:szCs w:val="26"/>
          <w:lang w:val="ro-RO"/>
        </w:rPr>
        <w:t>publicată în Monitorul Oficial al României, Partea I, nr. 672 din 27 iulie 2005, cu modificările și completările ulterioare, se modifică și se completează după cum urmează: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 După articolul 6, se introduce un nou articol, art. 6^1, cu următorul cuprins:</w:t>
      </w:r>
    </w:p>
    <w:p>
      <w:pPr>
        <w:pStyle w:val="Normal"/>
        <w:spacing w:lineRule="auto" w:line="240" w:before="120" w:after="0"/>
        <w:ind w:firstLine="720"/>
        <w:jc w:val="both"/>
        <w:rPr>
          <w:sz w:val="26"/>
          <w:szCs w:val="26"/>
          <w:lang w:val="ro-RO"/>
        </w:rPr>
      </w:pPr>
      <w:r>
        <w:rPr>
          <w:rFonts w:cs="Arial" w:ascii="Arial" w:hAnsi="Arial"/>
          <w:sz w:val="26"/>
          <w:szCs w:val="26"/>
          <w:lang w:val="ro-RO"/>
        </w:rPr>
        <w:t>”</w:t>
      </w:r>
      <w:r>
        <w:rPr>
          <w:rFonts w:cs="Arial" w:ascii="Arial" w:hAnsi="Arial"/>
          <w:sz w:val="26"/>
          <w:szCs w:val="26"/>
          <w:lang w:val="ro-RO"/>
        </w:rPr>
        <w:t>Art.6^1 – Constituie infracțiune și se pedepsește cu închisoare de la 1 an la 5 ani sau cu amendă reținerea și neplata, încasarea și neplata ori, după caz, nereținerea sau neîncasarea, în cel mult 60 de zile de la termenul de scadență prevăzut de lege, a impozitelor și/sau contribuțiilor prevăzute în anexa la prezenta lege."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 xml:space="preserve">2. La articolul 10, alineatele (1) și (1^1) se modifică și vor avea următorul cuprins: </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(1) În cazul săvârşirii unei infracţiuni  prevăzute la art. 6^1, 8 sau 9, dacă în cursul urmăririi penale sau al judecăţii prejudiciul cauzat este acoperit integral, iar valoarea acestuia nu depăşeşte 100.000 euro, în echivalentul monedei naţionale, se poate aplica pedeapsa cu amendă. Dacă prejudiciul cauzat şi recuperat în aceleaşi condiţii este de până la 50.000 euro, în echivalentul monedei naţionale, se aplică pedeapsa cu amenda.</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pPr>
      <w:r>
        <w:rPr>
          <w:rFonts w:cs="Arial" w:ascii="Arial" w:hAnsi="Arial"/>
          <w:sz w:val="26"/>
          <w:szCs w:val="26"/>
          <w:lang w:val="ro-RO"/>
        </w:rPr>
        <w:t>(1^1) În cazul în care prejudiciul produs prin comiterea faptelor de la art. 6^1, 8 sau 9 nu depășește valorile prevăzute la alin.(1), iar în cursul urmăririi penale sau în cursul judecăţii până la pronunţarea unei hotărâri judecătoreşti definitive, acesta, majorat cu 20% din baza de calcul, la care se adaugă dobânzile şi penalităţile, este acoperit integral, fapta nu se mai pedepseşte, făcându-se aplicarea dispoziţiilor art. 16 alin. (1) lit. h) din Legea nr. 135/2010 privind Codul de procedură penală, cu modificările şi completările ulterioare.”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b/>
        <w:t>3. După articolul 16 se introduce o anexă, al cărei conținut este prevăzut în anexa care face parte integrantă din prezenta ordonanță de urgență.</w:t>
      </w:r>
    </w:p>
    <w:p>
      <w:pPr>
        <w:pStyle w:val="Normal"/>
        <w:spacing w:lineRule="auto" w:line="240" w:before="120" w:after="0"/>
        <w:ind w:firstLine="720"/>
        <w:jc w:val="both"/>
        <w:rPr/>
      </w:pPr>
      <w:r>
        <w:rPr>
          <w:rFonts w:cs="Arial" w:ascii="Arial" w:hAnsi="Arial"/>
          <w:b/>
          <w:sz w:val="26"/>
          <w:szCs w:val="26"/>
          <w:lang w:val="ro-RO"/>
        </w:rPr>
        <w:t xml:space="preserve">ART. XXXI </w:t>
      </w:r>
      <w:r>
        <w:rPr>
          <w:rFonts w:cs="Arial" w:ascii="Arial" w:hAnsi="Arial"/>
          <w:sz w:val="26"/>
          <w:szCs w:val="26"/>
          <w:lang w:val="ro-RO"/>
        </w:rPr>
        <w:t>- Legea nr. 165/2018 privind acordarea biletelor de valoare, publicată în Monitorul Oficial al României, Partea I, nr. 599 din 13 iulie 2018, cu modificările şi completările ulterioare, se modifică și se completează după cum urmează: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w:t>
        <w:tab/>
        <w:t>La articolul 1, alineatul (2) se modifică şi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(2) Biletele de valoare se emit exclusiv pe suport electronic.”</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w:t>
        <w:tab/>
        <w:t>La articolul 2, alineatul (2) se abrogă.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w:t>
        <w:tab/>
        <w:t>Articolul 8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 8  - (1) Costurile legate de emiterea biletelor de valoare se suportă integral de angajatori.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Angajatorul care contractează cu o unitate emitentă serviciul de emitere a biletelor de valoare achită atât contravaloarea nominală a biletelor de valoare distribuite angajaţilor, cât şi costul emiterii suportului electronic.</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Valoarea nominală a biletelor de valoare acordate angajaţilor nu poate să fie diminuată în niciun mod.</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(4) Suportul electronic al biletelor de valoare nu permite efectuarea de operaţiuni de retragere de numerar sau de preschimbare în numerar.</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(5) Biletele de valoare pot fi utilizate doar pe teritoriul României, în termenul de valabilitate şi numai pentru achiziţionarea bunurilor şi serviciilor pentru care au fost emise.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(6) Suportul electronic poate fi alimentat exclusiv cu valoarea nominală a biletelor de valoare acordate angajaţilor, stabilită conform prezentei legi.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(7) Biletele de valoare pot fi utilizate, numai cu respectarea prevederilor alin. (5), inclusiv pentru plăţi online.”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4.</w:t>
        <w:tab/>
        <w:t>Articolul 10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Art.10 - (1) Angajatorii, împreună cu organizațiile sindicale legal constituite sau, acolo unde nu este constituit un sindicat, cu reprezentanții salariaților, stabilesc de comun acord categoriile de bilete de valoare care se acordă angajaților, frecvența acordării acestora, și valoarea lor, acolo unde este cazul, precum și unitatea emitentă.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Unităţile emitente au obligaţia de a transmite angajatorilor lista unităţilor corespunzătoare reţelei utilizate la care salariaţii pot folosi biletele de valoare. La stabilirea acestor unităţi vor fi avute în vedere calitatea serviciilor şi un nivel redus al preţurilor prin practicarea unor adaosuri comerciale minime.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Contractarea serviciilor privind emiterea biletelor de valoare de către angajatorii care au calitatea de autoritate contractantă în înţelesul Legii nr. 98/2016 privind achiziţiile publice, cu modificările şi completările ulterioare, se realizează în condiţiile legislaţiei în vigoare.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(4) Biletele de valoare pot fi utilizate numai de către/ la unităţi care au încheiat direct contracte de prestări ale serviciilor prevăzute de prezenta lege cu unităţi emitente, pentru fiecare categorie de bilet de valoare în parte.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(5) Valoarea biletelor de valoare nu poate fi transferată salariaţilor pe suportul electronic dacă, la data stabilită pentru transfer, angajatorii nu au achitat unităţii emitente, integral, contravaloarea nominală a biletelor de valoare achiziţionate, inclusiv costurile aferente emiterii acestora pe suport electronic.”</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5.</w:t>
        <w:tab/>
        <w:t>Articolul 11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Art.11 - (1) Tichetele de masă sunt bilete de valoare acordate angajaţilor, lunar, ca alocaţie individuală de hrană, utilizate numai pentru achitarea mesei sau pentru achiziţionarea de produse alimentare.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Tichetele de masă pot fi utilizate doar în unităţi de alimentaţie publică, magazine alimentare, cantine-restaurant, bufete sau orice alte tipuri de unităţi care comercializează produse alimentare şi care au încheiat contracte de prestare a serviciilor reglementate de prezenta lege cu unităţile emitente de tichete de masă şi trebuie să permită, în mod exclusiv, utilizarea pentru achitarea mesei sau pentru achiziţionarea de produse alimentare, inclusiv pentru plata online a acestora.</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Debitarea sumelor corespunzătoare produselor alimentare solicitate de salariat se realizează la valoarea respectivelor produse alimentare.”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6.</w:t>
        <w:tab/>
        <w:t>Articolul 12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Art.12  - (1) Valoarea tichetelor de masă este transferată lunar salariaţilor, de către unitatea emitentă, corespunzător numărului de zile lucrătoare din luna pentru care se face transferul, conform contractului încheiat de unitatea emitentă cu angajatorul.</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Salariatul poate utiliza, lunar, un număr de tichete de masă cel mult egal cu numărul de zile lucrate.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Salariatul are obligaţia să restituie angajatorului, la finele fiecărei luni, precum şi la încetarea contractului individual de muncă, valoarea corespunzătoare tichetelor de masă necuvenite.”</w:t>
      </w:r>
    </w:p>
    <w:p>
      <w:pPr>
        <w:pStyle w:val="Normal"/>
        <w:spacing w:lineRule="auto" w:line="240" w:before="120" w:after="0"/>
        <w:ind w:firstLine="720"/>
        <w:jc w:val="both"/>
        <w:rPr/>
      </w:pPr>
      <w:r>
        <w:rPr>
          <w:rFonts w:cs="Arial" w:ascii="Arial" w:hAnsi="Arial"/>
          <w:sz w:val="26"/>
          <w:szCs w:val="26"/>
          <w:lang w:val="ro-RO"/>
        </w:rPr>
        <w:t>7. Articolul 13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Art.13 - Fiecare tichet de masă este valabil numai dacă are înscrise pe suportul electronic sau stocate într-un alt mod în acesta, următoarele menţiuni: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 numele şi adresa emitentului;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b) perioada de valabilitate a utilizării tichetului de masă;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c) interdicţia de a fi utilizat pentru achiziţionarea de ţigări sau de produse alcoolice;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d) numele, prenumele şi codul numeric personal ale salariatului care este în drept să utilizeze tichetul de masă.”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8. Articolul 15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 15  - (1) Tichetele cadou sunt bilete de valoare acordate, ocazional, angajaţilor proprii, pentru cheltuieli sociale.</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Este interzisă acordarea de tichete cadou altor categorii de beneficiari decât cei prevăzuți la alin. (1).”</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9. Articolul 16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 16 - (1) Nivelul maxim al sumelor acordate sub forma tichetelor cadou, pentru cheltuieli sociale, nu poate depăşi suma stabilită conform art. 10 alin. (1).</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Valoarea nominală a unui tichet cadou acordat potrivit art. 15 alin. (1) este de 10 lei sau un multiplu de 10, dar nu mai mare de 50 lei.”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10. Articolul 17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Art.17 - Fiecare tichet cadou este valabil numai dacă are înscrise pe suportul electronic sau stocate într-un alt mod în acesta, următoarele menţiuni: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 numele şi adresa emitentului;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b) perioada de valabilitate a utilizării tichetului cadou;</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c) numele, prenumele şi codul numeric personal ale salariatului care este în drept să utilizeze tichetul cadou.”</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11. Articolul 20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Art.20  - Fiecare tichet de creşă este valabil numai dacă are înscrise pe suportul electronic sau stocate într-un alt mod în acesta, următoarele menţiuni: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 numele şi adresa emitentului;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b) perioada de valabilitate a utilizării tichetului de creşă;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c) interdicţia de a fi utilizat pentru achiziţionarea de alte bunuri/servicii decât cele prevăzute la art. 18 alin. (2);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d) numele, prenumele şi codul numeric personal ale salariatului care este în drept să utilizeze tichetul de creşă.”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12. Articolul 23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Art.23  - Fiecare tichet cultural este valabil numai dacă are înscrise pe suportul electronic sau stocate într-un alt mod în acesta, următoarele menţiuni: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 numele şi adresa emitentului;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b) perioada de valabilitate a utilizării tichetului;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c) interdicţia de a fi utilizat pentru achiziţionarea de alte bunuri/servicii decât cele prevăzute la art. 21 alin. (2);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d) numele, prenumele şi codul numeric personal ale salariatului care este în drept să utilizeze tichetul cultural.”</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13. Articolul 25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 25  - (1) Valoarea nominală permisă pentru un voucher de vacanţă este multiplu de 10 lei, dar nu mai mult de 100 lei.</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Voucherul de vacanţă are perioada de valabilitate de un an de la data emiterii, fără a se înţelege că aceasta este perioada de valabilitate a suportului electronic.</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Contravaloarea serviciilor turistice prestate de către unităţile afiliate peste valoarea voucherelor de vacanţă se suportă de către angajat, titular al voucherelor de vacanţă.”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14. Articolul 26 se modifică și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Art. 26 - Fiecare voucher de vacanţă este valabil numai dacă are înscrise pe suportul electronic sau stocate într-un alt mod în acesta, următoarele menţiuni: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a) emitentul şi datele sale de identificare;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b) angajatorul şi datele sale de identificare;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c) perioada de valabilitate a utilizării voucherului de vacanţă;</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d) interdicţia de a utiliza voucherul de vacanţă în alte locuri decât în unităţile afiliate;</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e) elementele de identitate vizuală ale brandului de turism al României,</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t>f) numele, prenumele şi codul numeric personal ale salariatului care este în drept să utilizeze voucherul de vacanţă.”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15. La articolul 28, alineatul (1), litera h) se modifică şi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h) comercializarea de către unităţile prevăzute la art. 11 alin. (2) a unor produse, altele decât cele alimentare, contra tichetelor de masă.”</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16. La articolul 28, alineatul (3) se modifică şi va avea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(3) Constituie contravenţie şi se sancţionează cu 14 puncte-amendă fapta unităţilor emitente de a alimenta suportul electronic cu bilete de valoare, cu nerespectarea prevederilor art. 8 alin. (6) şi art. 11 alin. (2).”</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17. La articolul 28, după alineatul (7), se introduce un nou alineat, alin. (7^1),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w:t>
      </w:r>
      <w:r>
        <w:rPr>
          <w:rFonts w:cs="Arial" w:ascii="Arial" w:hAnsi="Arial"/>
          <w:sz w:val="26"/>
          <w:szCs w:val="26"/>
          <w:lang w:val="ro-RO"/>
        </w:rPr>
        <w:t>(7^1) Constituie contravenţie şi se sancţionează cu 14 puncte-amendă, nerespectarea prevederilor art. 15 alin. (2).”</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ind w:firstLine="720"/>
        <w:jc w:val="both"/>
        <w:rPr>
          <w:sz w:val="26"/>
          <w:szCs w:val="26"/>
          <w:lang w:val="ro-RO"/>
        </w:rPr>
      </w:pPr>
      <w:r>
        <w:rPr>
          <w:rFonts w:cs="Arial" w:ascii="Arial" w:hAnsi="Arial"/>
          <w:b/>
          <w:sz w:val="26"/>
          <w:szCs w:val="26"/>
          <w:lang w:val="ro-RO"/>
        </w:rPr>
        <w:t xml:space="preserve">ART. XXXII </w:t>
      </w:r>
      <w:r>
        <w:rPr>
          <w:rFonts w:cs="Arial" w:ascii="Arial" w:hAnsi="Arial"/>
          <w:sz w:val="26"/>
          <w:szCs w:val="26"/>
          <w:lang w:val="ro-RO"/>
        </w:rPr>
        <w:t>– (1) Tichetele de masă, tichetele de creșă, tichetele culturale și respectiv tichetele cadou emise pe suport hârtie potrivit Legii nr.165/2018 privind acordarea biletelor de valoare, cu modificările şi completările ulterioare, până la data de 31 ianuarie 2022, sunt şi rămân valabile până la expirarea datei de valabilitate înscrise pe acestea.</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(2) Începând cu data de 1 februarie 2022, autorizaţiile de funcţionare ca unități emitente de bilete de valoare pe suport hârtie, acordate de Ministerul Finanțelor potrivit legii, își pierd valabilitatea.</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(3) Unităţile emitente prevăzute la alin. (2) rămân responsabile pentru respectarea obligațiilor asumate prin contractele încheiate, în condițiile legii, cu operatorii economici care acceptă bilete de valoare, precum și cu angajatorii.</w:t>
      </w:r>
    </w:p>
    <w:p>
      <w:pPr>
        <w:pStyle w:val="Normal"/>
        <w:spacing w:lineRule="auto" w:line="240" w:before="120" w:after="0"/>
        <w:ind w:firstLine="720"/>
        <w:jc w:val="both"/>
        <w:rPr/>
      </w:pPr>
      <w:r>
        <w:rPr>
          <w:rFonts w:cs="Arial" w:ascii="Arial" w:hAnsi="Arial"/>
          <w:b/>
          <w:sz w:val="26"/>
          <w:szCs w:val="26"/>
          <w:lang w:val="ro-RO"/>
        </w:rPr>
        <w:t>ART. XXXIII</w:t>
      </w:r>
      <w:r>
        <w:rPr>
          <w:rFonts w:cs="Arial" w:ascii="Arial" w:hAnsi="Arial"/>
          <w:sz w:val="26"/>
          <w:szCs w:val="26"/>
          <w:lang w:val="ro-RO"/>
        </w:rPr>
        <w:t xml:space="preserve"> - În termen de 60 de zile de la data intrării în vigoare a prezentei ordonanțe de urgență, Ministerul Finanțelor, Ministerul Muncii și Solidarității  Sociale, Ministerul Antreprenoriatului și Turismului și Ministerul Culturii modifică în mod corespunzător normele metodologice de aplicare a Legii nr. 165/2018 privind acordarea biletelor de valoare, aprobate prin Hotărârea Guvernului nr. 1045/2018, cu modificările ulterioare.</w:t>
      </w:r>
    </w:p>
    <w:p>
      <w:pPr>
        <w:pStyle w:val="Normal"/>
        <w:spacing w:lineRule="auto" w:line="240" w:before="120" w:after="0"/>
        <w:ind w:firstLine="720"/>
        <w:jc w:val="both"/>
        <w:rPr/>
      </w:pPr>
      <w:r>
        <w:rPr>
          <w:rFonts w:cs="Arial" w:ascii="Arial" w:hAnsi="Arial"/>
          <w:b/>
          <w:sz w:val="26"/>
          <w:szCs w:val="26"/>
          <w:lang w:val="ro-RO"/>
        </w:rPr>
        <w:t xml:space="preserve">ART. XXXIV </w:t>
      </w:r>
      <w:r>
        <w:rPr>
          <w:rFonts w:cs="Arial" w:ascii="Arial" w:hAnsi="Arial"/>
          <w:sz w:val="26"/>
          <w:szCs w:val="26"/>
          <w:lang w:val="ro-RO"/>
        </w:rPr>
        <w:t>- Punctele 13 și 14 ale articolului XXXI intră în vigoare la data de 1 ianuarie 2022.</w:t>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ART. XXXV</w:t>
      </w:r>
      <w:r>
        <w:rPr>
          <w:rFonts w:cs="Arial" w:ascii="Arial" w:hAnsi="Arial"/>
          <w:sz w:val="26"/>
          <w:szCs w:val="26"/>
          <w:lang w:val="ro-RO"/>
        </w:rPr>
        <w:t xml:space="preserve"> - Dispoziţiile referitoare la stabilirea şi sancţionarea contravenţiilor prevăzute la punctul 17 al articolului  XXXI intră în vigoare la 10 zile de la data intrării în vigoare a prezentei ordonanţe de urgenţă.</w:t>
      </w:r>
    </w:p>
    <w:p>
      <w:pPr>
        <w:pStyle w:val="Normal"/>
        <w:spacing w:lineRule="auto" w:line="240" w:before="0" w:after="0"/>
        <w:ind w:firstLine="720"/>
        <w:jc w:val="both"/>
        <w:rPr>
          <w:rFonts w:ascii="Arial" w:hAnsi="Arial" w:cs="Arial"/>
          <w:b/>
          <w:b/>
          <w:sz w:val="26"/>
          <w:szCs w:val="26"/>
          <w:lang w:val="ro-RO"/>
        </w:rPr>
      </w:pPr>
      <w:r>
        <w:rPr>
          <w:rFonts w:cs="Arial" w:ascii="Arial" w:hAnsi="Arial"/>
          <w:b/>
          <w:sz w:val="26"/>
          <w:szCs w:val="26"/>
          <w:lang w:val="ro-RO"/>
        </w:rPr>
      </w:r>
    </w:p>
    <w:p>
      <w:pPr>
        <w:pStyle w:val="Normal"/>
        <w:spacing w:lineRule="auto" w:line="240" w:before="0" w:after="0"/>
        <w:ind w:firstLine="720"/>
        <w:jc w:val="both"/>
        <w:rPr/>
      </w:pPr>
      <w:r>
        <w:rPr>
          <w:rFonts w:cs="Arial" w:ascii="Arial" w:hAnsi="Arial"/>
          <w:b/>
          <w:sz w:val="26"/>
          <w:szCs w:val="26"/>
          <w:lang w:val="ro-RO"/>
        </w:rPr>
        <w:t xml:space="preserve">ART. XXXVI - </w:t>
      </w:r>
      <w:r>
        <w:rPr>
          <w:rFonts w:cs="Arial" w:ascii="Arial" w:hAnsi="Arial"/>
          <w:sz w:val="26"/>
          <w:szCs w:val="26"/>
          <w:lang w:val="ro-RO"/>
        </w:rPr>
        <w:t>Ordonanța de urgență a Guvernului nr. 118/2021 privind stabilirea unei scheme de compensare pentru consumul de energie electrică și gaze naturale pentru sezonul rece 2021 - 2022, precum și pentru completarea Ordonanței Guvernului nr. 27/1996 privind acordarea de facilități persoanelor care domiciliază sau lucrează în unele localități din Munții Apuseni și în Rezervația Biosferei „Delta Dunării”, aprobată cu modificări și completări prin Legea nr. 259/2021</w:t>
      </w:r>
      <w:bookmarkStart w:id="1" w:name="_GoBack3"/>
      <w:bookmarkEnd w:id="1"/>
      <w:r>
        <w:rPr>
          <w:rFonts w:cs="Arial" w:ascii="Arial" w:hAnsi="Arial"/>
          <w:sz w:val="26"/>
          <w:szCs w:val="26"/>
          <w:lang w:val="ro-RO"/>
        </w:rPr>
        <w:t>,, se modifică și se completează după cum urmează:</w:t>
      </w:r>
    </w:p>
    <w:p>
      <w:pPr>
        <w:pStyle w:val="Normal"/>
        <w:spacing w:lineRule="auto" w:line="240" w:before="0" w:after="0"/>
        <w:jc w:val="both"/>
        <w:rPr>
          <w:rFonts w:ascii="Arial" w:hAnsi="Arial" w:cs="Arial"/>
          <w:b/>
          <w:b/>
          <w:sz w:val="26"/>
          <w:szCs w:val="26"/>
          <w:lang w:val="ro-RO"/>
        </w:rPr>
      </w:pPr>
      <w:r>
        <w:rPr>
          <w:rFonts w:cs="Arial" w:ascii="Arial" w:hAnsi="Arial"/>
          <w:b/>
          <w:sz w:val="26"/>
          <w:szCs w:val="26"/>
          <w:lang w:val="ro-RO"/>
        </w:rPr>
      </w:r>
    </w:p>
    <w:p>
      <w:pPr>
        <w:pStyle w:val="Normal"/>
        <w:spacing w:lineRule="auto" w:line="240" w:before="0" w:after="0"/>
        <w:ind w:firstLine="720"/>
        <w:jc w:val="both"/>
        <w:rPr>
          <w:sz w:val="26"/>
          <w:szCs w:val="26"/>
          <w:lang w:val="ro-RO"/>
        </w:rPr>
      </w:pPr>
      <w:r>
        <w:rPr>
          <w:rFonts w:cs="Arial" w:ascii="Arial" w:hAnsi="Arial"/>
          <w:bCs/>
          <w:sz w:val="26"/>
          <w:szCs w:val="26"/>
          <w:lang w:val="ro-RO"/>
        </w:rPr>
        <w:t>1.</w:t>
      </w:r>
      <w:r>
        <w:rPr>
          <w:rFonts w:cs="Arial" w:ascii="Arial" w:hAnsi="Arial"/>
          <w:b/>
          <w:bCs/>
          <w:sz w:val="26"/>
          <w:szCs w:val="26"/>
          <w:lang w:val="ro-RO"/>
        </w:rPr>
        <w:t xml:space="preserve"> </w:t>
      </w:r>
      <w:r>
        <w:rPr>
          <w:rFonts w:cs="Arial" w:ascii="Arial" w:hAnsi="Arial"/>
          <w:bCs/>
          <w:sz w:val="26"/>
          <w:szCs w:val="26"/>
          <w:lang w:val="ro-RO"/>
        </w:rPr>
        <w:t>La articolul 6, alineatul (2), litera b) se modifică și va avea următorul cuprins:</w:t>
      </w:r>
    </w:p>
    <w:p>
      <w:pPr>
        <w:pStyle w:val="Normal"/>
        <w:spacing w:lineRule="auto" w:line="240" w:before="0" w:after="0"/>
        <w:ind w:firstLine="720"/>
        <w:jc w:val="both"/>
        <w:rPr>
          <w:sz w:val="26"/>
          <w:szCs w:val="26"/>
          <w:lang w:val="ro-RO"/>
        </w:rPr>
      </w:pPr>
      <w:r>
        <w:rPr>
          <w:rFonts w:cs="Arial" w:ascii="Arial" w:hAnsi="Arial"/>
          <w:bCs/>
          <w:sz w:val="26"/>
          <w:szCs w:val="26"/>
          <w:lang w:val="ro-RO"/>
        </w:rPr>
        <w:t>„</w:t>
      </w:r>
      <w:r>
        <w:rPr>
          <w:rFonts w:cs="Arial" w:ascii="Arial" w:hAnsi="Arial"/>
          <w:bCs/>
          <w:sz w:val="26"/>
          <w:szCs w:val="26"/>
          <w:lang w:val="ro-RO"/>
        </w:rPr>
        <w:t>b) pentru gaze naturale – componenta de preț al gazelor naturale, costul de transport, tariful de înmagazinare, acciza, tariful de distribuție, costurile de furnizare și TVA.”</w:t>
      </w:r>
    </w:p>
    <w:p>
      <w:pPr>
        <w:pStyle w:val="Normal"/>
        <w:spacing w:lineRule="auto" w:line="240" w:before="0" w:after="0"/>
        <w:jc w:val="both"/>
        <w:rPr>
          <w:rFonts w:ascii="Times New Roman" w:hAnsi="Times New Roman" w:cs="Times New Roman"/>
          <w:b/>
          <w:b/>
          <w:bCs/>
          <w:sz w:val="26"/>
          <w:szCs w:val="26"/>
          <w:lang w:val="ro-RO"/>
        </w:rPr>
      </w:pPr>
      <w:r>
        <w:rPr>
          <w:rFonts w:cs="Times New Roman" w:ascii="Times New Roman" w:hAnsi="Times New Roman"/>
          <w:b/>
          <w:bCs/>
          <w:sz w:val="26"/>
          <w:szCs w:val="26"/>
          <w:lang w:val="ro-RO"/>
        </w:rPr>
      </w:r>
    </w:p>
    <w:p>
      <w:pPr>
        <w:pStyle w:val="Normal"/>
        <w:spacing w:lineRule="auto" w:line="240" w:before="0" w:after="0"/>
        <w:ind w:firstLine="720"/>
        <w:jc w:val="both"/>
        <w:rPr>
          <w:sz w:val="26"/>
          <w:szCs w:val="26"/>
          <w:lang w:val="ro-RO"/>
        </w:rPr>
      </w:pPr>
      <w:r>
        <w:rPr>
          <w:rFonts w:cs="Arial" w:ascii="Arial" w:hAnsi="Arial"/>
          <w:bCs/>
          <w:sz w:val="26"/>
          <w:szCs w:val="26"/>
          <w:lang w:val="ro-RO"/>
        </w:rPr>
        <w:t>2.</w:t>
      </w:r>
      <w:r>
        <w:rPr>
          <w:rFonts w:cs="Arial" w:ascii="Arial" w:hAnsi="Arial"/>
          <w:b/>
          <w:bCs/>
          <w:sz w:val="26"/>
          <w:szCs w:val="26"/>
          <w:lang w:val="ro-RO"/>
        </w:rPr>
        <w:t xml:space="preserve"> </w:t>
      </w:r>
      <w:r>
        <w:rPr>
          <w:rFonts w:cs="Arial" w:ascii="Arial" w:hAnsi="Arial"/>
          <w:bCs/>
          <w:sz w:val="26"/>
          <w:szCs w:val="26"/>
          <w:lang w:val="ro-RO"/>
        </w:rPr>
        <w:t>La articolul 6, după alineatul (2) se introduce un nou alineat, alineatul (3), cu următorul cuprins:</w:t>
      </w:r>
    </w:p>
    <w:p>
      <w:pPr>
        <w:pStyle w:val="Normal"/>
        <w:spacing w:lineRule="auto" w:line="240" w:before="0" w:after="0"/>
        <w:ind w:firstLine="720"/>
        <w:jc w:val="both"/>
        <w:rPr>
          <w:sz w:val="26"/>
          <w:szCs w:val="26"/>
          <w:lang w:val="ro-RO"/>
        </w:rPr>
      </w:pPr>
      <w:r>
        <w:rPr>
          <w:rFonts w:cs="Arial" w:ascii="Arial" w:hAnsi="Arial"/>
          <w:bCs/>
          <w:sz w:val="26"/>
          <w:szCs w:val="26"/>
          <w:lang w:val="ro-RO"/>
        </w:rPr>
        <w:t>„</w:t>
      </w:r>
      <w:r>
        <w:rPr>
          <w:rFonts w:cs="Arial" w:ascii="Arial" w:hAnsi="Arial"/>
          <w:bCs/>
          <w:sz w:val="26"/>
          <w:szCs w:val="26"/>
          <w:lang w:val="ro-RO"/>
        </w:rPr>
        <w:t>(3) Componenta de preț al energiei electrice prevăzută la alin. (1) lit. a) și componenta de preț al gazelor naturale prevăzută la alin. (1) lit. b) nu includ TVA.”</w:t>
      </w:r>
    </w:p>
    <w:p>
      <w:pPr>
        <w:pStyle w:val="Normal"/>
        <w:spacing w:lineRule="auto" w:line="240" w:before="0" w:after="0"/>
        <w:jc w:val="both"/>
        <w:rPr>
          <w:rFonts w:ascii="Arial" w:hAnsi="Arial" w:cs="Arial"/>
          <w:bCs/>
          <w:sz w:val="26"/>
          <w:szCs w:val="26"/>
          <w:lang w:val="ro-RO"/>
        </w:rPr>
      </w:pPr>
      <w:r>
        <w:rPr>
          <w:rFonts w:cs="Arial" w:ascii="Arial" w:hAnsi="Arial"/>
          <w:bCs/>
          <w:sz w:val="26"/>
          <w:szCs w:val="26"/>
          <w:lang w:val="ro-RO"/>
        </w:rPr>
      </w:r>
    </w:p>
    <w:p>
      <w:pPr>
        <w:pStyle w:val="Normal"/>
        <w:spacing w:lineRule="auto" w:line="240" w:before="0" w:after="0"/>
        <w:ind w:firstLine="720"/>
        <w:jc w:val="both"/>
        <w:rPr/>
      </w:pPr>
      <w:r>
        <w:rPr>
          <w:rFonts w:cs="Arial" w:ascii="Arial" w:hAnsi="Arial"/>
          <w:bCs/>
          <w:sz w:val="26"/>
          <w:szCs w:val="26"/>
          <w:lang w:val="ro-RO"/>
        </w:rPr>
        <w:t>3. Articolul 7 se modifică și va avea următorul cuprins:</w:t>
      </w:r>
    </w:p>
    <w:p>
      <w:pPr>
        <w:pStyle w:val="Normal"/>
        <w:spacing w:lineRule="auto" w:line="240" w:before="0" w:after="0"/>
        <w:ind w:firstLine="720"/>
        <w:jc w:val="both"/>
        <w:rPr/>
      </w:pPr>
      <w:r>
        <w:rPr>
          <w:rFonts w:cs="Arial" w:ascii="Arial" w:hAnsi="Arial"/>
          <w:bCs/>
          <w:sz w:val="26"/>
          <w:szCs w:val="26"/>
        </w:rPr>
        <w:t>“</w:t>
      </w:r>
      <w:r>
        <w:rPr>
          <w:rFonts w:cs="Arial" w:ascii="Arial" w:hAnsi="Arial"/>
          <w:bCs/>
          <w:sz w:val="26"/>
          <w:szCs w:val="26"/>
        </w:rPr>
        <w:t>(1) Diferenţa între preţul mediu ponderat pentru contractele de achiziții în derulare cu livrare în perioada de aplicare a prezentei ordonanțe de urgență şi plafonul maxim de 250 lei/MWh, reprezentând preţul gazelor naturale, în vederea acoperirii consumului clienţilor prevăzuți la art. 1 alin. (1) lit. a), d), e) și f) va fi compensată de la bugetul de stat, prin bugetul Ministerului Energiei, de la o poziţie distinctă de cheltuieli bugetare.</w:t>
      </w:r>
    </w:p>
    <w:p>
      <w:pPr>
        <w:pStyle w:val="Normal"/>
        <w:spacing w:lineRule="auto" w:line="240" w:before="0" w:after="0"/>
        <w:ind w:firstLine="720"/>
        <w:jc w:val="both"/>
        <w:rPr/>
      </w:pPr>
      <w:r>
        <w:rPr>
          <w:rFonts w:cs="Arial" w:ascii="Arial" w:hAnsi="Arial"/>
          <w:bCs/>
          <w:sz w:val="26"/>
          <w:szCs w:val="26"/>
        </w:rPr>
        <w:t>(2) Diferenţa între preţul mediu ponderat pentru contractele de achizitii în derulare cu livrare în perioada de aplicare a prezentei ordonanțe de urgență şi plafonul maxim de 525 lei/MWh, reprezentând preţul energiei electrice active, în vederea acoperirii consumului clienţilor prevăzuți la art. 1 alin. (1) lit. a), d), e) și f), va fi compensată de la bugetul de stat, prin bugetul Ministerului Energiei, de la o poziţie distinctă de cheltuieli bugetare.</w:t>
      </w:r>
    </w:p>
    <w:p>
      <w:pPr>
        <w:pStyle w:val="Normal"/>
        <w:spacing w:lineRule="auto" w:line="240" w:before="0" w:after="0"/>
        <w:ind w:firstLine="720"/>
        <w:jc w:val="both"/>
        <w:rPr/>
      </w:pPr>
      <w:r>
        <w:rPr>
          <w:rFonts w:cs="Arial" w:ascii="Arial" w:hAnsi="Arial"/>
          <w:bCs/>
          <w:sz w:val="26"/>
          <w:szCs w:val="26"/>
        </w:rPr>
        <w:t>(3) Prin derogare de la prevederile alin. (1) și (2), pe perioada de aplicare a prezentei ordonanțe de urgență va fi compensată diferența dintre prețul de achiziție al energiei electrice/gazelor naturale și plafonul de 525 lei/ MWh al energiei electrice, respectiv 250 lei/MWh al gazelor naturale, aferent consumului clienților intrați în portofoliul furnizorilor de energie electrică/gaze naturale în regim de ultimă instanță în perioada de aplicare a prezentei ordonanțe de urgență, pe durata regimului de ultimă instanță.</w:t>
      </w:r>
    </w:p>
    <w:p>
      <w:pPr>
        <w:pStyle w:val="Normal"/>
        <w:spacing w:lineRule="auto" w:line="240" w:before="0" w:after="0"/>
        <w:ind w:firstLine="720"/>
        <w:jc w:val="both"/>
        <w:rPr/>
      </w:pPr>
      <w:r>
        <w:rPr>
          <w:rFonts w:cs="Arial" w:ascii="Arial" w:hAnsi="Arial"/>
          <w:bCs/>
          <w:sz w:val="26"/>
          <w:szCs w:val="26"/>
        </w:rPr>
        <w:t>(4) Documentele justificative ce trebuie prezentate lunar către Autoritatea Naţională de Reglementare în Domeniul Energiei de către furnizorii de energie electrică şi gaze naturale în vederea acoperirii diferențelor de preț compensate potrivit alin. (1) si (2) sunt:</w:t>
      </w:r>
    </w:p>
    <w:p>
      <w:pPr>
        <w:pStyle w:val="Normal"/>
        <w:spacing w:lineRule="auto" w:line="240" w:before="0" w:after="0"/>
        <w:jc w:val="both"/>
        <w:rPr/>
      </w:pPr>
      <w:r>
        <w:rPr>
          <w:rFonts w:cs="Arial" w:ascii="Arial" w:hAnsi="Arial"/>
          <w:bCs/>
          <w:sz w:val="26"/>
          <w:szCs w:val="26"/>
        </w:rPr>
        <w:t xml:space="preserve">(i) documentele justificative care atestă cantitățile și prețurile contractelor de achizitii în derulare cu livrare în perioada de aplicare a prezentei ordonanțe de urgență; </w:t>
      </w:r>
    </w:p>
    <w:p>
      <w:pPr>
        <w:pStyle w:val="Normal"/>
        <w:spacing w:lineRule="auto" w:line="240" w:before="0" w:after="0"/>
        <w:jc w:val="both"/>
        <w:rPr/>
      </w:pPr>
      <w:r>
        <w:rPr>
          <w:rFonts w:cs="Arial" w:ascii="Arial" w:hAnsi="Arial"/>
          <w:bCs/>
          <w:sz w:val="26"/>
          <w:szCs w:val="26"/>
        </w:rPr>
        <w:t>(ii) cantitatea de energie electrică/gaze naturale livrată în vederea acoperirii consumului clienţilor prevăzuți la art. 1 alin. (1) lit. a), d), e) și f) aflaţi în portofoliu pentru perioada de aplicare a prevederilor prezentei ordonanţe de urgenţă.</w:t>
      </w:r>
    </w:p>
    <w:p>
      <w:pPr>
        <w:pStyle w:val="Normal"/>
        <w:spacing w:lineRule="auto" w:line="240" w:before="0" w:after="0"/>
        <w:ind w:firstLine="720"/>
        <w:jc w:val="both"/>
        <w:rPr/>
      </w:pPr>
      <w:r>
        <w:rPr>
          <w:rFonts w:cs="Arial" w:ascii="Arial" w:hAnsi="Arial"/>
          <w:bCs/>
          <w:sz w:val="26"/>
          <w:szCs w:val="26"/>
        </w:rPr>
        <w:t>(5) Documentele justificative ce trebuie prezentate lunar către Autoritatea Naţională de Reglementare în Domeniul Energiei de către furnizorii de energie electrică şi gaze naturale în vederea acoperirii diferenţei de preţ compensate potrivit alin (3) sunt:</w:t>
      </w:r>
    </w:p>
    <w:p>
      <w:pPr>
        <w:pStyle w:val="Normal"/>
        <w:spacing w:lineRule="auto" w:line="240" w:before="0" w:after="0"/>
        <w:jc w:val="both"/>
        <w:rPr/>
      </w:pPr>
      <w:r>
        <w:rPr>
          <w:rFonts w:cs="Arial" w:ascii="Arial" w:hAnsi="Arial"/>
          <w:bCs/>
          <w:sz w:val="26"/>
          <w:szCs w:val="26"/>
        </w:rPr>
        <w:t xml:space="preserve">(i) documentele justificative care atestă cantitățile si prețurile aferente achizițiilor suplimentare de energie electrică/gaze naturale cu livrare în perioada de aplicare a prezentei legi, realizate în vedere acoperirii consumului clienților prevăzuți la alin. (3);  </w:t>
      </w:r>
    </w:p>
    <w:p>
      <w:pPr>
        <w:pStyle w:val="Normal"/>
        <w:spacing w:lineRule="auto" w:line="240" w:before="0" w:after="0"/>
        <w:jc w:val="both"/>
        <w:rPr/>
      </w:pPr>
      <w:r>
        <w:rPr>
          <w:rFonts w:cs="Arial" w:ascii="Arial" w:hAnsi="Arial"/>
          <w:bCs/>
          <w:sz w:val="26"/>
          <w:szCs w:val="26"/>
        </w:rPr>
        <w:t>(ii) cantitatea de energie electrică/gaze naturale livrată în vederea acoperirii consumului clienţilor prevăzuți la alin. (3) pe perioada de aplicare a prevederilor prezentei ordonanţe de urgenţă.</w:t>
      </w:r>
    </w:p>
    <w:p>
      <w:pPr>
        <w:pStyle w:val="Normal"/>
        <w:spacing w:lineRule="auto" w:line="240" w:before="0" w:after="0"/>
        <w:ind w:firstLine="720"/>
        <w:jc w:val="both"/>
        <w:rPr/>
      </w:pPr>
      <w:r>
        <w:rPr>
          <w:rFonts w:cs="Arial" w:ascii="Arial" w:hAnsi="Arial"/>
          <w:bCs/>
          <w:sz w:val="26"/>
          <w:szCs w:val="26"/>
        </w:rPr>
        <w:t>(6) Valorile aferente compensărilor prevăzute la alin. (1) – (3) pentru fiecare furnizor se determină de către Autoritatea Naţională de Reglementare în Domeniul Energiei, în termen de 30 de zile de la data depunerii de către furnizori a documentelor justificative.</w:t>
      </w:r>
    </w:p>
    <w:p>
      <w:pPr>
        <w:pStyle w:val="Normal"/>
        <w:spacing w:lineRule="auto" w:line="240" w:before="0" w:after="0"/>
        <w:ind w:firstLine="720"/>
        <w:jc w:val="both"/>
        <w:rPr/>
      </w:pPr>
      <w:r>
        <w:rPr>
          <w:rFonts w:cs="Arial" w:ascii="Arial" w:hAnsi="Arial"/>
          <w:bCs/>
          <w:sz w:val="26"/>
          <w:szCs w:val="26"/>
        </w:rPr>
        <w:t>(7) Autoritatea Naţională de Reglementare în Domeniul Energiei va transmite valorile aferente compensărilor prevăzute la alin. (4) către Ministerul Energiei, iar acesta efectuează plata către furnizori a sumelor reprezentând valoarea compensării în termen de 15 zile de la data primirii documentelor.</w:t>
      </w:r>
    </w:p>
    <w:p>
      <w:pPr>
        <w:pStyle w:val="Normal"/>
        <w:spacing w:lineRule="auto" w:line="240" w:before="0" w:after="0"/>
        <w:ind w:firstLine="720"/>
        <w:jc w:val="both"/>
        <w:rPr/>
      </w:pPr>
      <w:r>
        <w:rPr>
          <w:rFonts w:cs="Arial" w:ascii="Arial" w:hAnsi="Arial"/>
          <w:bCs/>
          <w:sz w:val="26"/>
          <w:szCs w:val="26"/>
        </w:rPr>
        <w:t>(8) Diferențele de preț prevăzute  la  alin.  (1) – (3) nu sunt subvenții  legate  direct  de preț în sensul art. 286 alin. (1) lit. a) din Legea  nr.  227/2015  privind Codul fiscal, cu modificările și completările ulterioare, și nu se includ în baza de impozitare a TVA."</w:t>
      </w:r>
    </w:p>
    <w:p>
      <w:pPr>
        <w:pStyle w:val="Normal"/>
        <w:spacing w:lineRule="auto" w:line="240" w:before="0" w:after="0"/>
        <w:jc w:val="both"/>
        <w:rPr>
          <w:rFonts w:ascii="Arial" w:hAnsi="Arial" w:cs="Arial"/>
          <w:b/>
          <w:b/>
          <w:bCs/>
          <w:sz w:val="26"/>
          <w:szCs w:val="26"/>
          <w:lang w:val="ro-RO"/>
        </w:rPr>
      </w:pPr>
      <w:r>
        <w:rPr>
          <w:rFonts w:cs="Arial" w:ascii="Arial" w:hAnsi="Arial"/>
          <w:b/>
          <w:bCs/>
          <w:sz w:val="26"/>
          <w:szCs w:val="26"/>
          <w:lang w:val="ro-RO"/>
        </w:rPr>
      </w:r>
    </w:p>
    <w:p>
      <w:pPr>
        <w:pStyle w:val="Normal"/>
        <w:spacing w:lineRule="auto" w:line="240" w:before="0" w:after="0"/>
        <w:jc w:val="both"/>
        <w:rPr/>
      </w:pPr>
      <w:r>
        <w:rPr>
          <w:rFonts w:cs="Arial" w:ascii="Arial" w:hAnsi="Arial"/>
          <w:b/>
          <w:bCs/>
          <w:sz w:val="26"/>
          <w:szCs w:val="26"/>
          <w:lang w:val="ro-RO"/>
        </w:rPr>
        <w:tab/>
        <w:t xml:space="preserve">ART. XXXVII - </w:t>
      </w:r>
      <w:r>
        <w:rPr>
          <w:rFonts w:cs="Arial" w:ascii="Arial" w:hAnsi="Arial"/>
          <w:bCs/>
          <w:sz w:val="26"/>
          <w:szCs w:val="26"/>
          <w:lang w:val="ro-RO"/>
        </w:rPr>
        <w:t>La art. II din Legea nr. 259/2021 pentru aprobarea Ordonanței de urgență a Guvernului nr. 118/2021 privind stabilirea unei scheme de compensare pentru consumul de energie electrică și ga</w:t>
      </w:r>
      <w:bookmarkStart w:id="2" w:name="_GoBack2"/>
      <w:bookmarkEnd w:id="2"/>
      <w:r>
        <w:rPr>
          <w:rFonts w:cs="Arial" w:ascii="Arial" w:hAnsi="Arial"/>
          <w:bCs/>
          <w:sz w:val="26"/>
          <w:szCs w:val="26"/>
          <w:lang w:val="ro-RO"/>
        </w:rPr>
        <w:t>ze naturale pentru sezonul rece 2021 - 2022, precum și pentru completarea Ordonanței Guvernului nr. 27/1996 privind acordarea de facilități persoanelor care domiciliază sau lucrează în unele localități din Munții Apuseni și în Rezervația Biosferei „Delta Dunării”, publicată în Monitorul Oficial al României, Partea I, nr. 1036 din 29 octombrie 2021, după alineatul (2) se introduc două noi alineate, alin. (2</w:t>
      </w:r>
      <w:r>
        <w:rPr>
          <w:rFonts w:cs="Arial" w:ascii="Arial" w:hAnsi="Arial"/>
          <w:bCs/>
          <w:sz w:val="26"/>
          <w:szCs w:val="26"/>
          <w:vertAlign w:val="superscript"/>
          <w:lang w:val="ro-RO"/>
        </w:rPr>
        <w:t>1</w:t>
      </w:r>
      <w:r>
        <w:rPr>
          <w:rFonts w:cs="Arial" w:ascii="Arial" w:hAnsi="Arial"/>
          <w:bCs/>
          <w:sz w:val="26"/>
          <w:szCs w:val="26"/>
          <w:lang w:val="ro-RO"/>
        </w:rPr>
        <w:t>) și (2</w:t>
      </w:r>
      <w:r>
        <w:rPr>
          <w:rFonts w:cs="Arial" w:ascii="Arial" w:hAnsi="Arial"/>
          <w:bCs/>
          <w:sz w:val="26"/>
          <w:szCs w:val="26"/>
          <w:vertAlign w:val="superscript"/>
          <w:lang w:val="ro-RO"/>
        </w:rPr>
        <w:t>2</w:t>
      </w:r>
      <w:r>
        <w:rPr>
          <w:rFonts w:cs="Arial" w:ascii="Arial" w:hAnsi="Arial"/>
          <w:bCs/>
          <w:sz w:val="26"/>
          <w:szCs w:val="26"/>
          <w:lang w:val="ro-RO"/>
        </w:rPr>
        <w:t>), cu următorul cuprins:</w:t>
      </w:r>
    </w:p>
    <w:p>
      <w:pPr>
        <w:pStyle w:val="Normal"/>
        <w:spacing w:lineRule="auto" w:line="240" w:before="0" w:after="0"/>
        <w:ind w:firstLine="720"/>
        <w:jc w:val="both"/>
        <w:rPr/>
      </w:pPr>
      <w:r>
        <w:rPr>
          <w:rFonts w:cs="Arial" w:ascii="Arial" w:hAnsi="Arial"/>
          <w:bCs/>
          <w:sz w:val="26"/>
          <w:szCs w:val="26"/>
          <w:lang w:val="ro-RO"/>
        </w:rPr>
        <w:t>„</w:t>
      </w:r>
      <w:r>
        <w:rPr>
          <w:rFonts w:cs="Arial" w:ascii="Arial" w:hAnsi="Arial"/>
          <w:bCs/>
          <w:sz w:val="26"/>
          <w:szCs w:val="26"/>
          <w:lang w:val="ro-RO"/>
        </w:rPr>
        <w:t>(2</w:t>
      </w:r>
      <w:r>
        <w:rPr>
          <w:rFonts w:cs="Arial" w:ascii="Arial" w:hAnsi="Arial"/>
          <w:bCs/>
          <w:sz w:val="26"/>
          <w:szCs w:val="26"/>
          <w:vertAlign w:val="superscript"/>
          <w:lang w:val="ro-RO"/>
        </w:rPr>
        <w:t>1</w:t>
      </w:r>
      <w:r>
        <w:rPr>
          <w:rFonts w:cs="Arial" w:ascii="Arial" w:hAnsi="Arial"/>
          <w:bCs/>
          <w:sz w:val="26"/>
          <w:szCs w:val="26"/>
          <w:lang w:val="ro-RO"/>
        </w:rPr>
        <w:t>) Impozitul prevăzut la alin. (1) se declară și se plătește de către producătorii de energie electrică, cu excepția producătorilor de energie prevăzuți la alin. (2), lunar, până la data de 25 inclusiv a lunii următoare celei pentru care se datorează acest impozit. Plata impozitului se efectuează la bugetul de stat, într-un cont de venituri bugetare distinct.</w:t>
      </w:r>
    </w:p>
    <w:p>
      <w:pPr>
        <w:pStyle w:val="Normal"/>
        <w:spacing w:lineRule="auto" w:line="240" w:before="0" w:after="0"/>
        <w:ind w:firstLine="720"/>
        <w:jc w:val="both"/>
        <w:rPr/>
      </w:pPr>
      <w:r>
        <w:rPr>
          <w:rFonts w:cs="Arial" w:ascii="Arial" w:hAnsi="Arial"/>
          <w:bCs/>
          <w:sz w:val="26"/>
          <w:szCs w:val="26"/>
          <w:lang w:val="ro-RO"/>
        </w:rPr>
        <w:t>(2</w:t>
      </w:r>
      <w:r>
        <w:rPr>
          <w:rFonts w:cs="Arial" w:ascii="Arial" w:hAnsi="Arial"/>
          <w:bCs/>
          <w:sz w:val="26"/>
          <w:szCs w:val="26"/>
          <w:vertAlign w:val="superscript"/>
          <w:lang w:val="ro-RO"/>
        </w:rPr>
        <w:t>2</w:t>
      </w:r>
      <w:r>
        <w:rPr>
          <w:rFonts w:cs="Arial" w:ascii="Arial" w:hAnsi="Arial"/>
          <w:bCs/>
          <w:sz w:val="26"/>
          <w:szCs w:val="26"/>
          <w:lang w:val="ro-RO"/>
        </w:rPr>
        <w:t>) Prin excepție de la prevederile alin. (2</w:t>
      </w:r>
      <w:r>
        <w:rPr>
          <w:rFonts w:cs="Arial" w:ascii="Arial" w:hAnsi="Arial"/>
          <w:bCs/>
          <w:sz w:val="26"/>
          <w:szCs w:val="26"/>
          <w:vertAlign w:val="superscript"/>
          <w:lang w:val="ro-RO"/>
        </w:rPr>
        <w:t>1</w:t>
      </w:r>
      <w:r>
        <w:rPr>
          <w:rFonts w:cs="Arial" w:ascii="Arial" w:hAnsi="Arial"/>
          <w:bCs/>
          <w:sz w:val="26"/>
          <w:szCs w:val="26"/>
          <w:lang w:val="ro-RO"/>
        </w:rPr>
        <w:t>) impozitul prevăzut la alin. (1), datorat pentru perioada 1 noiembrie – 31 decembrie 2021 se declară și se plătește până la 25 ianuarie 2022.”</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r>
    </w:p>
    <w:p>
      <w:pPr>
        <w:pStyle w:val="Normal"/>
        <w:spacing w:lineRule="auto" w:line="240" w:before="0" w:after="0"/>
        <w:ind w:firstLine="720"/>
        <w:jc w:val="both"/>
        <w:rPr>
          <w:rFonts w:ascii="Arial" w:hAnsi="Arial" w:cs="Arial"/>
          <w:b/>
          <w:b/>
          <w:bCs/>
          <w:sz w:val="26"/>
          <w:szCs w:val="26"/>
          <w:lang w:val="ro-RO"/>
        </w:rPr>
      </w:pPr>
      <w:r>
        <w:rPr>
          <w:rFonts w:cs="Arial" w:ascii="Arial" w:hAnsi="Arial"/>
          <w:b/>
          <w:bCs/>
          <w:sz w:val="26"/>
          <w:szCs w:val="26"/>
          <w:lang w:val="ro-RO"/>
        </w:rPr>
      </w:r>
    </w:p>
    <w:p>
      <w:pPr>
        <w:pStyle w:val="Normal"/>
        <w:spacing w:lineRule="auto" w:line="240" w:before="0" w:after="0"/>
        <w:ind w:firstLine="720"/>
        <w:jc w:val="both"/>
        <w:rPr>
          <w:rFonts w:ascii="Arial" w:hAnsi="Arial" w:cs="Arial"/>
          <w:bCs/>
          <w:sz w:val="26"/>
          <w:szCs w:val="26"/>
          <w:lang w:val="ro-RO"/>
        </w:rPr>
      </w:pPr>
      <w:r>
        <w:rPr>
          <w:rFonts w:cs="Arial" w:ascii="Arial" w:hAnsi="Arial"/>
          <w:b/>
          <w:bCs/>
          <w:sz w:val="26"/>
          <w:szCs w:val="26"/>
          <w:lang w:val="ro-RO"/>
        </w:rPr>
        <w:t xml:space="preserve">ART. XXXVIII - </w:t>
      </w:r>
      <w:r>
        <w:rPr>
          <w:rFonts w:cs="Arial" w:ascii="Arial" w:hAnsi="Arial"/>
          <w:bCs/>
          <w:sz w:val="26"/>
          <w:szCs w:val="26"/>
          <w:lang w:val="ro-RO"/>
        </w:rPr>
        <w:t>(1)  Prin derogare de la prevederile art. 10-12 din Ordonanța de urgență a Guvernului nr. 120/2021 privind administrarea, funcţionarea şi implementarea sistemului naţional privind factura electronică RO e-Factura şi factura electronică în România, precum şi pentru completarea Ordonanţei Guvernului nr. 78/2000 privind omologarea, eliberarea cărţii de identitate a vehiculului şi certificarea autenticităţii vehiculelor rutiere în vederea introducerii pe piaţă, punerii la dispoziţie pe piaţă, înmatriculării sau înregistrării în România, precum şi supravegherea pieţei pentru acestea, publicată în Monitorul Oficial al României, Partea I, nr. 960 din 7 octombrie 2021, pentru produsele cu risc fiscal ridicat stabilite prin ordin al președintelui Agenţiei Naţionale de Administrare Fiscală, comercializate în relația B2B:</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 xml:space="preserve"> </w:t>
      </w:r>
      <w:r>
        <w:rPr>
          <w:rFonts w:cs="Arial" w:ascii="Arial" w:hAnsi="Arial"/>
          <w:bCs/>
          <w:sz w:val="26"/>
          <w:szCs w:val="26"/>
          <w:lang w:val="ro-RO"/>
        </w:rPr>
        <w:t>a) furnizorii pot, în perioada 1 aprilie – 30 iunie 2022, să transmită facturile emise în sistemul naţional privind factura electronică RO e-Factura, indiferent dacă destinatarii sunt sau nu înregistrați în Registrul RO e-Factura;</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b) furnizorii sunt obligați, începând cu data de 1 iulie 2022, să transmită facturile emise în sistemul naţional privind factura electronică RO e-Factura, indiferent dacă destinatarii sunt sau nu înregistrați în Registrul RO e-Factura.</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(2) Furnizorii prevăzuți la alin. (1) sunt obligați să transmită facturile emise către destinatari conform prevederilor art. 319 din Legea nr. 227/2015 privind Codul fiscal, cu modificările și completările ulterioare.</w:t>
      </w:r>
    </w:p>
    <w:p>
      <w:pPr>
        <w:pStyle w:val="Normal"/>
        <w:spacing w:lineRule="auto" w:line="240" w:before="0" w:after="0"/>
        <w:ind w:firstLine="720"/>
        <w:jc w:val="both"/>
        <w:rPr/>
      </w:pPr>
      <w:r>
        <w:rPr>
          <w:rFonts w:cs="Arial" w:ascii="Arial" w:hAnsi="Arial"/>
          <w:bCs/>
          <w:sz w:val="26"/>
          <w:szCs w:val="26"/>
          <w:lang w:val="ro-RO"/>
        </w:rPr>
        <w:t>(3) În ordinul prevăzut la alin. (1), Agenția Națională de Administrare Fiscală justifică temeinic pentru fiecare produs încadrarea în categoria produselor cu risc fiscal  ridicat. Prin produs cu risc fiscal ridicat se înțelege produsul la a cărui comercializare există</w:t>
      </w:r>
      <w:bookmarkStart w:id="3" w:name="_GoBack1"/>
      <w:bookmarkEnd w:id="3"/>
      <w:r>
        <w:rPr>
          <w:rFonts w:cs="Arial" w:ascii="Arial" w:hAnsi="Arial"/>
          <w:bCs/>
          <w:sz w:val="26"/>
          <w:szCs w:val="26"/>
          <w:lang w:val="ro-RO"/>
        </w:rPr>
        <w:t xml:space="preserve"> risc ridicat de fraudă și evaziune fiscală. Lista produselor încadrate în această categorie se reevaluează periodic. </w:t>
      </w:r>
    </w:p>
    <w:p>
      <w:pPr>
        <w:pStyle w:val="Normal"/>
        <w:spacing w:lineRule="auto" w:line="240" w:before="0" w:after="0"/>
        <w:ind w:firstLine="720"/>
        <w:jc w:val="both"/>
        <w:rPr/>
      </w:pPr>
      <w:r>
        <w:rPr>
          <w:rFonts w:cs="Arial" w:ascii="Arial" w:hAnsi="Arial"/>
          <w:bCs/>
          <w:sz w:val="26"/>
          <w:szCs w:val="26"/>
          <w:lang w:val="ro-RO"/>
        </w:rPr>
        <w:t>(4) Ordinul președintelui Agenţiei Naţionale de Administrare Fiscală, prevăzut la alin. (1) se emite în termen de 30 de zile de la data intrării în vigoare a prezentei ordonanțe de urgență şi se publică în Monitorul Oficial al României, Partea I.</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r>
    </w:p>
    <w:p>
      <w:pPr>
        <w:pStyle w:val="Normal"/>
        <w:spacing w:lineRule="auto" w:line="240" w:before="0" w:after="0"/>
        <w:ind w:firstLine="720"/>
        <w:jc w:val="both"/>
        <w:rPr/>
      </w:pPr>
      <w:r>
        <w:rPr>
          <w:rFonts w:cs="Arial" w:ascii="Arial" w:hAnsi="Arial"/>
          <w:b/>
          <w:bCs/>
          <w:sz w:val="26"/>
          <w:szCs w:val="26"/>
          <w:lang w:val="ro-RO"/>
        </w:rPr>
        <w:t>ART.XXXIX</w:t>
      </w:r>
      <w:r>
        <w:rPr>
          <w:rFonts w:cs="Arial" w:ascii="Arial" w:hAnsi="Arial"/>
          <w:bCs/>
          <w:sz w:val="26"/>
          <w:szCs w:val="26"/>
          <w:lang w:val="ro-RO"/>
        </w:rPr>
        <w:t xml:space="preserve">  - Articolul 9 din Legea cadastrului și a publicității imobiliare nr. 7/1996, republicată în Monitorul Oficial al României, Partea I, nr. 720 din 24 septembrie 2015, cu modificările și completările ulterioare, se modifică și se completează după cum urmează:</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1. Alineatul (2) al articolului 9 se modifică si va avea următorul cuprins:</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w:t>
      </w:r>
      <w:r>
        <w:rPr>
          <w:rFonts w:cs="Arial" w:ascii="Arial" w:hAnsi="Arial"/>
          <w:bCs/>
          <w:sz w:val="26"/>
          <w:szCs w:val="26"/>
          <w:lang w:val="ro-RO"/>
        </w:rPr>
        <w:t>(2) Subvenția de la bugetul de stat se acordă pentru finanțarea valorii totale a proiectelor finanțate din fonduri externe rambursabile, potrivit Ordonanței de urgență a Guvernului nr. 64/2007 privind datoria publică, aprobată cu modificări și completări prin Legea nr. 109/2008, cu modificările și completările ulterioare, și pentru finanțarea valorii totale a proiectelor finanțate din fonduri externe nerambursabile potrivit Ordonanței de urgență a Guvernului nr. 40/2015 privind gestionarea financiară a fondurilor europene pentru perioada de programare 2014-2020, aprobată cu modificări și completări prin Legea nr. 105/2016, cu modificările și completările ulterioare, cat si pentru perioada de programare 2021-2027, cu excepția Proiectului major „Creșterea gradului de acoperire și incluziune a sistemului de înregistrare a proprietăților în zonele rurale din România”, caz în care finanțarea valorii  totale a proiectului major se suportă din veniturile proprii ale Agenției Naționale de Cadastru și Publicitate Imobiliară, cu aplicarea  mecanismului rambursării  pentru contravaloarea contribuției din fonduri europene.”</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2. După alineatul (2) al articolului 9 se introduc alineatele (2^1) – (2^2) cu următorul cuprins:</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w:t>
      </w:r>
      <w:r>
        <w:rPr>
          <w:rFonts w:cs="Arial" w:ascii="Arial" w:hAnsi="Arial"/>
          <w:bCs/>
          <w:sz w:val="26"/>
          <w:szCs w:val="26"/>
          <w:lang w:val="ro-RO"/>
        </w:rPr>
        <w:t>(2^1) Pentru asigurarea managementului financiar al proiectului major prevăzut la alin. (2), în bugetul Agenției Naționale de Cadastru și Publicitate Imobiliară se cuprind creditele de angajament și creditele bugetare aferente valorii totale a proiectului finanțat din fonduri europene, cu respectarea prevederilor 6 alin. (5), art. 11, precum și a normelor aplicabile proiectelor implementate în parteneriat din Ordonanța de urgență a Guvernului nr. 40/2015 privind gestionarea financiară a fondurilor europene pentru perioada de programare 2014-2020, cu modificările și completările ulterioare.</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(2^2) Activitățile prevăzute în cadrul Proiectului major „Creșterea gradului de acoperire și incluziune a sistemului de înregistrare a proprietăților în zonele rurale din România”, și care nu au fost finalizate în perioada de eligibilitate sunt incluse în Programul național de cadastru și carte funciară, care se derulează până la finalizarea înregistrării sistematice a imobilelor la nivelul întregii țări și vor fi finanțate din veniturile proprii ale Agenției Naționale.”</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3. Alineatele (3^1) și (3^3) ale articolului 9 se modifică după cum urmează:</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w:t>
      </w:r>
      <w:r>
        <w:rPr>
          <w:rFonts w:cs="Arial" w:ascii="Arial" w:hAnsi="Arial"/>
          <w:bCs/>
          <w:sz w:val="26"/>
          <w:szCs w:val="26"/>
          <w:lang w:val="ro-RO"/>
        </w:rPr>
        <w:t>(3^1) Veniturile proprii prevăzute la alin. (3) se utilizează pentru finanţarea cheltuielilor curente şi de capital ale Agenţiei Naţionale şi ale instituţiilor subordonate, pentru cofinanţarea proiectelor cu finanţare din fonduri externe nerambursabile, altele decât cele prevăzute la alin. (2), precum si pentru finantarea Proiectului major „Creșterea gradului de acoperire și incluziune a sistemului de înregistrare a proprietăților în zonele rurale din România”.</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t xml:space="preserve"> ” </w:t>
      </w:r>
      <w:r>
        <w:rPr>
          <w:rFonts w:cs="Arial" w:ascii="Arial" w:hAnsi="Arial"/>
          <w:bCs/>
          <w:sz w:val="26"/>
          <w:szCs w:val="26"/>
          <w:lang w:val="ro-RO"/>
        </w:rPr>
        <w:t>(3^3) Sumele rambursate de autoritatea de management aferente cheltuielilor efectuate în cadrul proiectelor cu finanţare externă nerambursabilă se restituie de către Agenţia Naţională în conturile de cheltuieli bugetare ale ordonatorului principal de credite din care a fost acordată subvenţia, în termen de 7 zile lucrătoare de la data încasării, cu respectarea prevederilor art. 8 din Ordonanţa de urgenţă a Guvernului nr. 37/2008 privind reglementarea unor măsuri financiare în domeniul bugetar, aprobată cu modificări prin Legea nr. 275/2008, cu modificările şi completările ulterioare, în cazul în care restituirea subvenţiei se efectuează în anul următor celui în care s-a acordat, iar în cazul Proiectului major „Creșterea gradului de acoperire și incluziune a sistemului de înregistrare a proprietăților în zonele rurale din România”, pentru finantarea din veniturile proprii ale Agentiei Nationale, sumele cuvenite a fi rambursate în condiţiile legii, beneficiarului proiectului, se virează de către autorităţile de management în conturile de venituri ale bugetului Agenției Naționale și se vor face venit la bugetul acesteia.”</w:t>
      </w:r>
    </w:p>
    <w:p>
      <w:pPr>
        <w:pStyle w:val="Normal"/>
        <w:spacing w:lineRule="auto" w:line="240" w:before="0" w:after="0"/>
        <w:ind w:firstLine="720"/>
        <w:jc w:val="both"/>
        <w:rPr>
          <w:rFonts w:ascii="Arial" w:hAnsi="Arial" w:cs="Arial"/>
          <w:bCs/>
          <w:sz w:val="26"/>
          <w:szCs w:val="26"/>
          <w:lang w:val="ro-RO"/>
        </w:rPr>
      </w:pPr>
      <w:r>
        <w:rPr>
          <w:rFonts w:cs="Arial" w:ascii="Arial" w:hAnsi="Arial"/>
          <w:bCs/>
          <w:sz w:val="26"/>
          <w:szCs w:val="26"/>
          <w:lang w:val="ro-RO"/>
        </w:rPr>
      </w:r>
    </w:p>
    <w:p>
      <w:pPr>
        <w:pStyle w:val="Normal"/>
        <w:spacing w:lineRule="auto" w:line="240" w:before="0" w:after="0"/>
        <w:ind w:firstLine="720"/>
        <w:jc w:val="both"/>
        <w:rPr/>
      </w:pPr>
      <w:r>
        <w:rPr>
          <w:rFonts w:cs="Arial" w:ascii="Arial" w:hAnsi="Arial"/>
          <w:b/>
          <w:bCs/>
          <w:sz w:val="26"/>
          <w:szCs w:val="26"/>
          <w:lang w:val="ro-RO"/>
        </w:rPr>
        <w:t>ART. XL</w:t>
      </w:r>
      <w:r>
        <w:rPr>
          <w:rFonts w:cs="Arial" w:ascii="Arial" w:hAnsi="Arial"/>
          <w:bCs/>
          <w:sz w:val="26"/>
          <w:szCs w:val="26"/>
          <w:lang w:val="ro-RO"/>
        </w:rPr>
        <w:t xml:space="preserve"> - Prevederile art. XXXIX  intră în vigoare începând cu data de 1 ianuarie 2022.</w:t>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ART. XLI</w:t>
      </w:r>
      <w:r>
        <w:rPr>
          <w:rFonts w:cs="Arial" w:ascii="Arial" w:hAnsi="Arial"/>
          <w:sz w:val="26"/>
          <w:szCs w:val="26"/>
          <w:lang w:val="ro-RO"/>
        </w:rPr>
        <w:t xml:space="preserve"> – Alineatul (1) al articolului II  din Legea nr. 154/2021 pentru modificarea şi completarea Ordonanței Guvernului nr. 105/1999 privind acordarea unor drepturi persoanelor persecutate de către regimurile instaurate în România cu începere de la 6 septembrie 1940 până la 6 martie 1945 din motive etnice,  publicată în Monitorul Oficial al României, Partea I, nr. 573 din 7 iunie 2021, se modifică și va avea următorul cuprins: </w:t>
      </w:r>
    </w:p>
    <w:p>
      <w:pPr>
        <w:pStyle w:val="Normal"/>
        <w:spacing w:lineRule="auto" w:line="240" w:before="120" w:after="0"/>
        <w:jc w:val="both"/>
        <w:rPr/>
      </w:pPr>
      <w:r>
        <w:rPr>
          <w:rFonts w:cs="Arial" w:ascii="Arial" w:hAnsi="Arial"/>
          <w:sz w:val="26"/>
          <w:szCs w:val="26"/>
          <w:lang w:val="ro-RO"/>
        </w:rPr>
        <w:t xml:space="preserve">    </w:t>
      </w:r>
      <w:r>
        <w:rPr>
          <w:rFonts w:cs="Arial" w:ascii="Arial" w:hAnsi="Arial"/>
          <w:sz w:val="26"/>
          <w:szCs w:val="26"/>
          <w:lang w:val="ro-RO"/>
        </w:rPr>
        <w:tab/>
        <w:t>”(1) Prin derogare de la prevederile art. 5 din Ordonanţa Guvernului nr. 105/1999 privind acordarea unor drepturi persoanelor persecutate de către regimurile instaurate în România cu începere de la 6 septembrie 1940 până la 6 martie 1945 din motive etnice, republicată, cu modificările şi completările aduse prin prezenta lege, drepturile stabilite potrivit art. 3^1 din Ordonanţa Guvernului nr. 105/1999, republicată, cu modificările şi completările aduse prin prezenta lege, se acordă şi se plătesc începând cu data de 1 ianuarie 2023.”</w:t>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 xml:space="preserve">ART. XLII </w:t>
      </w:r>
      <w:r>
        <w:rPr>
          <w:rFonts w:cs="Arial" w:ascii="Arial" w:hAnsi="Arial"/>
          <w:sz w:val="26"/>
          <w:szCs w:val="26"/>
          <w:lang w:val="ro-RO"/>
        </w:rPr>
        <w:t>- Ordonanţa Guvernului nr. 80/2001 privind stabilirea unor normative de cheltuieli pentru autorităţile administraţiei publice şi instituţiile publice, publicată în Monitorul Oficial al României, Partea I, nr. 542 din 1 septembrie 2001, aprobată cu modificări și completări prin Legea nr. 247/2002, cu modificările şi completările ulterioare, se modifică după cum urmează:</w:t>
      </w:r>
    </w:p>
    <w:p>
      <w:pPr>
        <w:pStyle w:val="Normal"/>
        <w:spacing w:lineRule="auto" w:line="240" w:before="120" w:after="0"/>
        <w:ind w:firstLine="720"/>
        <w:jc w:val="both"/>
        <w:rPr/>
      </w:pPr>
      <w:r>
        <w:rPr>
          <w:rFonts w:cs="Arial" w:ascii="Arial" w:hAnsi="Arial"/>
          <w:sz w:val="26"/>
          <w:szCs w:val="26"/>
          <w:lang w:val="ro-RO"/>
        </w:rPr>
        <w:t>1. La articolul 1, alineatul (5) se modifică și va avea următorul cuprins:</w:t>
      </w:r>
    </w:p>
    <w:p>
      <w:pPr>
        <w:pStyle w:val="Normal"/>
        <w:spacing w:lineRule="auto" w:line="240" w:before="120" w:after="0"/>
        <w:jc w:val="both"/>
        <w:rPr/>
      </w:pPr>
      <w:r>
        <w:rPr>
          <w:rFonts w:cs="Arial" w:ascii="Arial" w:hAnsi="Arial"/>
          <w:sz w:val="26"/>
          <w:szCs w:val="26"/>
          <w:lang w:val="ro-RO"/>
        </w:rPr>
        <w:t xml:space="preserve">   </w:t>
      </w:r>
      <w:r>
        <w:rPr>
          <w:rFonts w:cs="Arial" w:ascii="Arial" w:hAnsi="Arial"/>
          <w:sz w:val="26"/>
          <w:szCs w:val="26"/>
          <w:lang w:val="ro-RO"/>
        </w:rPr>
        <w:tab/>
        <w:t>„(5) Cheltuielile de natura celor care fac obiectul prezentei ordonanţe, cuprinse în bugetele Administraţiei Prezidenţiale, Senatului României, Camerei Deputaților, Curții de Conturi, Avocatului Poporului, Secretariatului General al Guvernului, instituţiilor din domeniul apărării, ordinii publice şi securității naţionale,</w:t>
      </w:r>
      <w:r>
        <w:rPr>
          <w:rFonts w:cs="Arial" w:ascii="Arial" w:hAnsi="Arial"/>
          <w:b w:val="false"/>
          <w:bCs w:val="false"/>
          <w:sz w:val="26"/>
          <w:szCs w:val="26"/>
          <w:lang w:val="ro-RO"/>
        </w:rPr>
        <w:t xml:space="preserve">  precum și ale autorităților de reglementare se stabilesc prin normative proprii."</w:t>
      </w:r>
    </w:p>
    <w:p>
      <w:pPr>
        <w:pStyle w:val="Normal"/>
        <w:spacing w:lineRule="auto" w:line="240" w:before="120" w:after="0"/>
        <w:ind w:firstLine="720"/>
        <w:jc w:val="both"/>
        <w:rPr/>
      </w:pPr>
      <w:r>
        <w:rPr>
          <w:rFonts w:cs="Arial" w:ascii="Arial" w:hAnsi="Arial"/>
          <w:sz w:val="26"/>
          <w:szCs w:val="26"/>
          <w:lang w:val="ro-RO"/>
        </w:rPr>
        <w:t>2. La articolul 5, alineatul (9^4) se modifică și va avea următorul cuprins:</w:t>
      </w:r>
    </w:p>
    <w:p>
      <w:pPr>
        <w:pStyle w:val="Normal"/>
        <w:spacing w:lineRule="auto" w:line="240" w:before="120" w:after="0"/>
        <w:ind w:firstLine="720"/>
        <w:jc w:val="both"/>
        <w:rPr/>
      </w:pPr>
      <w:r>
        <w:rPr>
          <w:rFonts w:cs="Arial" w:ascii="Arial" w:hAnsi="Arial"/>
          <w:sz w:val="26"/>
          <w:szCs w:val="26"/>
          <w:lang w:val="ro-RO"/>
        </w:rPr>
        <w:t>„</w:t>
      </w:r>
      <w:r>
        <w:rPr>
          <w:rFonts w:cs="Arial" w:ascii="Arial" w:hAnsi="Arial"/>
          <w:sz w:val="26"/>
          <w:szCs w:val="26"/>
          <w:lang w:val="ro-RO"/>
        </w:rPr>
        <w:t>(9^4) Prin excepție de la prevederile alin. (8), serviciile Parlamentului, Administrația Prezidențială, Curtea de Conturi</w:t>
      </w:r>
      <w:r>
        <w:rPr>
          <w:rFonts w:cs="Arial" w:ascii="Arial" w:hAnsi="Arial"/>
          <w:b/>
          <w:sz w:val="26"/>
          <w:szCs w:val="26"/>
          <w:lang w:val="ro-RO"/>
        </w:rPr>
        <w:t>,</w:t>
      </w:r>
      <w:r>
        <w:rPr>
          <w:rFonts w:cs="Arial" w:ascii="Arial" w:hAnsi="Arial"/>
          <w:sz w:val="26"/>
          <w:szCs w:val="26"/>
          <w:lang w:val="ro-RO"/>
        </w:rPr>
        <w:t xml:space="preserve"> Secretariatul General al Guvernului </w:t>
      </w:r>
      <w:r>
        <w:rPr>
          <w:rFonts w:cs="Arial" w:ascii="Arial" w:hAnsi="Arial"/>
          <w:b w:val="false"/>
          <w:bCs w:val="false"/>
          <w:sz w:val="26"/>
          <w:szCs w:val="26"/>
          <w:lang w:val="ro-RO"/>
        </w:rPr>
        <w:t>precum și ale autorităților de reglementare</w:t>
      </w:r>
      <w:r>
        <w:rPr>
          <w:rFonts w:cs="Arial" w:ascii="Arial" w:hAnsi="Arial"/>
          <w:b/>
          <w:sz w:val="26"/>
          <w:szCs w:val="26"/>
          <w:lang w:val="ro-RO"/>
        </w:rPr>
        <w:t xml:space="preserve"> </w:t>
      </w:r>
      <w:r>
        <w:rPr>
          <w:rFonts w:cs="Arial" w:ascii="Arial" w:hAnsi="Arial"/>
          <w:sz w:val="26"/>
          <w:szCs w:val="26"/>
          <w:lang w:val="ro-RO"/>
        </w:rPr>
        <w:t>pot achiziționa, în condițiile legii, autoturisme după normativele proprii stabilite.”</w:t>
      </w:r>
    </w:p>
    <w:p>
      <w:pPr>
        <w:pStyle w:val="Normal"/>
        <w:spacing w:lineRule="auto" w:line="240" w:before="120" w:after="0"/>
        <w:jc w:val="both"/>
        <w:rPr/>
      </w:pPr>
      <w:r>
        <w:rPr>
          <w:rFonts w:cs="Arial" w:ascii="Arial" w:hAnsi="Arial"/>
          <w:sz w:val="26"/>
          <w:szCs w:val="26"/>
          <w:lang w:val="ro-RO"/>
        </w:rPr>
        <w:tab/>
      </w:r>
      <w:r>
        <w:rPr>
          <w:rFonts w:cs="Arial" w:ascii="Arial" w:hAnsi="Arial"/>
          <w:b/>
          <w:sz w:val="26"/>
          <w:szCs w:val="26"/>
          <w:lang w:val="ro-RO"/>
        </w:rPr>
        <w:t>ART. XLIII</w:t>
      </w:r>
      <w:r>
        <w:rPr>
          <w:rFonts w:cs="Arial" w:ascii="Arial" w:hAnsi="Arial"/>
          <w:sz w:val="26"/>
          <w:szCs w:val="26"/>
          <w:lang w:val="ro-RO"/>
        </w:rPr>
        <w:t xml:space="preserve"> – Ordonanța de urgență a Guvernului nr. 121/2021 privind stabilirea unor măsuri la nivelul administrației publice centrale și pentru modificarea și completarea unor acte normative, publicată în Monitorul Oficial, Partea I, nr.1127 din 25 noiembrie 2021, se modifică și se completează după cum urmează:</w:t>
      </w:r>
    </w:p>
    <w:p>
      <w:pPr>
        <w:pStyle w:val="ListParagraph"/>
        <w:numPr>
          <w:ilvl w:val="0"/>
          <w:numId w:val="1"/>
        </w:numPr>
        <w:spacing w:lineRule="auto" w:line="240" w:before="120" w:after="0"/>
        <w:ind w:left="0" w:firstLine="720"/>
        <w:contextualSpacing/>
        <w:jc w:val="both"/>
        <w:rPr>
          <w:rFonts w:ascii="Arial" w:hAnsi="Arial" w:cs="Arial"/>
          <w:sz w:val="26"/>
          <w:szCs w:val="26"/>
          <w:lang w:val="es-ES"/>
        </w:rPr>
      </w:pPr>
      <w:r>
        <w:rPr>
          <w:rFonts w:cs="Arial" w:ascii="Arial" w:hAnsi="Arial"/>
          <w:sz w:val="26"/>
          <w:szCs w:val="26"/>
          <w:lang w:val="es-ES"/>
        </w:rPr>
        <w:t>La articolul 3, după alineatul (2) se introduce un nou alineat, alin. (2^1), cu următorul cuprins:</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w:t>
      </w:r>
      <w:r>
        <w:rPr>
          <w:rFonts w:cs="Arial" w:ascii="Arial" w:hAnsi="Arial"/>
          <w:sz w:val="26"/>
          <w:szCs w:val="26"/>
          <w:lang w:val="es-ES"/>
        </w:rPr>
        <w:t>(2^1) Prin excepție de la prevederile art. 8 alin. (3), salarizarea personalului din cadrul Ministerului Familiei, Tineretului și Egalității de Șanse se stabileşte la nivelul de salarizare aferent funcţiilor din cadrul Ministerului Muncii și Solidarității Sociale.”</w:t>
      </w:r>
    </w:p>
    <w:p>
      <w:pPr>
        <w:pStyle w:val="ListParagraph"/>
        <w:numPr>
          <w:ilvl w:val="0"/>
          <w:numId w:val="1"/>
        </w:numPr>
        <w:spacing w:lineRule="auto" w:line="240" w:before="120" w:after="0"/>
        <w:ind w:left="0" w:firstLine="720"/>
        <w:contextualSpacing/>
        <w:jc w:val="both"/>
        <w:rPr>
          <w:rFonts w:ascii="Arial" w:hAnsi="Arial" w:cs="Arial"/>
          <w:sz w:val="26"/>
          <w:szCs w:val="26"/>
          <w:lang w:val="es-ES"/>
        </w:rPr>
      </w:pPr>
      <w:r>
        <w:rPr>
          <w:rFonts w:cs="Arial" w:ascii="Arial" w:hAnsi="Arial"/>
          <w:sz w:val="26"/>
          <w:szCs w:val="26"/>
          <w:lang w:val="es-ES"/>
        </w:rPr>
        <w:t>La articolul 4, alineatele (8) – (10) se modifică și vor avea următorul cuprins:</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w:t>
      </w:r>
      <w:r>
        <w:rPr>
          <w:rFonts w:cs="Arial" w:ascii="Arial" w:hAnsi="Arial"/>
          <w:sz w:val="26"/>
          <w:szCs w:val="26"/>
          <w:lang w:val="es-ES"/>
        </w:rPr>
        <w:t>(8) Direcţiile judeţene de tineret şi sport, respectiv Direcţia pentru Sport şi Tineret a Municipiului Bucureşti se reorganizează prin divizare parţială, prin desprinderea unei părţi de patrimoniu corespunzătoare activităţilor şi personalului din domeniul tineretului şi transmiterea acestei părţi către direcţiile judeţene pentru familie și tineret, respectiv Direcţia pentru  familie și tineret a Municipiului Bucureşti, care se înfiinţează. Direcţiile judeţene pentru familie și tineret, respectiv Direcţia pentru familie și tineret a Municipiului Bucureşti preiau activităţile, posturile şi personalul aferent şi patrimoniul corespunzător din domeniul tineretului, inclusiv personalul aferent structurilor suport.</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(9) Direcţiile judeţene pentru familie și tineret, respectiv Direcţia pentru familie și tineret a Municipiului Bucureşti, servicii publice deconcentrate, cu personalitate juridică, finanţate din venituri proprii şi subvenţii acordate de la bugetul de stat, se află în subordinea Ministerului Familiei, Tineretului şi Egalităţii de Şanse şi sunt conduse de un director executiv, numit şi eliberat în condiţiile legii.</w:t>
      </w:r>
    </w:p>
    <w:p>
      <w:pPr>
        <w:pStyle w:val="Normal"/>
        <w:spacing w:lineRule="auto" w:line="240" w:before="120" w:after="0"/>
        <w:ind w:firstLine="720"/>
        <w:jc w:val="both"/>
        <w:rPr>
          <w:rFonts w:ascii="Arial" w:hAnsi="Arial" w:cs="Arial"/>
          <w:sz w:val="26"/>
          <w:szCs w:val="26"/>
          <w:lang w:val="es-ES"/>
        </w:rPr>
      </w:pPr>
      <w:r>
        <w:rPr>
          <w:rFonts w:cs="Arial" w:ascii="Arial" w:hAnsi="Arial"/>
          <w:sz w:val="26"/>
          <w:szCs w:val="26"/>
          <w:lang w:val="es-ES"/>
        </w:rPr>
        <w:t>(10) Organizarea şi funcţionarea, numărul de posturi şi atribuţiile direcţiilor judeţene pentru familie și tineret, respectiv Direcţiei pentru familie și tineret a Municipiului Bucureşti se reglementează prin hotărâre a Guvernului.”</w:t>
      </w:r>
    </w:p>
    <w:p>
      <w:pPr>
        <w:pStyle w:val="Normal"/>
        <w:spacing w:lineRule="auto" w:line="240" w:before="120" w:after="0"/>
        <w:ind w:firstLine="720"/>
        <w:jc w:val="both"/>
        <w:rPr/>
      </w:pPr>
      <w:r>
        <w:rPr>
          <w:rFonts w:cs="Arial" w:ascii="Arial" w:hAnsi="Arial"/>
          <w:b/>
          <w:bCs/>
          <w:sz w:val="26"/>
          <w:szCs w:val="26"/>
          <w:lang w:val="ro-RO"/>
        </w:rPr>
        <w:t xml:space="preserve">Art. XLIV – </w:t>
      </w:r>
      <w:r>
        <w:rPr>
          <w:rFonts w:cs="Arial" w:ascii="Arial" w:hAnsi="Arial"/>
          <w:bCs/>
          <w:sz w:val="26"/>
          <w:szCs w:val="26"/>
          <w:lang w:val="ro-RO"/>
        </w:rPr>
        <w:t>(1) Prin derogare de la art. 42^5 din Legea nr. 223/2007 privind Statutul personalului aeronautic civil navigant profesionist din aviaţia civilă din România, cu modificările şi completările ulterioare, în anul 2022 pensiile de serviciu stabilite în condiţiile legii nu se actualizează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(2)  Prin derogare de la art. 68^5 alin. (10) din Legea nr. 567/2004 privind statutul personalului auxiliar de specialitate al instanţelor judecătoreşti şi al parchetelor de pe lângă acestea şi al personalului care funcţionează în Institutul Naţional de Expertize Criminalistice, cu modificările şi completările ulterioare, în anul 2022 pensiile de serviciu stabilite în condiţiile legii nu se actualizează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(3)  Prin derogare de la art. 73^1 alin. (5) din Legea nr. 7/2006 privind statutul funcţionarului public parlamentar, republicată, cu modificările şi completările ulterioare, în anul 2022 pensiile de serviciu stabilite în condiţiile legii nu se actualizează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(4)  Prin derogare de la art. 6 alin. (5) din Legea nr. 216/2015 privind acordarea pensiei de serviciu membrilor Corpului diplomatic şi consular al României, cu modificările ulterioare, în anul 2022 pensiile de serviciu şi pensiile de urmaş stabilite în condiţiile legii nu se actualizează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(5)  Prin derogare de la art. 51 alin. (10) din Legea nr. 94/1992 privind organizarea şi funcţionarea Curţii de Conturi, republicată, cu modificările şi completările ulterioare, în anul 2022 pensiile de serviciu stabilite în condiţiile legii nu se actualizează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 xml:space="preserve"> </w:t>
      </w:r>
      <w:r>
        <w:rPr>
          <w:rFonts w:cs="Arial" w:ascii="Arial" w:hAnsi="Arial"/>
          <w:bCs/>
          <w:sz w:val="26"/>
          <w:szCs w:val="26"/>
          <w:lang w:val="ro-RO"/>
        </w:rPr>
        <w:t>(6)  Prin derogare de la art. 59 alin. (1) din Legea nr. 223/2015 privind pensiile militare de stat, cu modificările şi completările ulterioare, în anul 2022 pensiile militare de stat aflate în plată în anul 2021 stabilite în condiţiile legii nu se indexează cu rata medie anuală a inflaţiei.</w:t>
      </w:r>
    </w:p>
    <w:p>
      <w:pPr>
        <w:pStyle w:val="Normal"/>
        <w:spacing w:lineRule="auto" w:line="240" w:before="120" w:after="0"/>
        <w:ind w:firstLine="720"/>
        <w:jc w:val="both"/>
        <w:rPr>
          <w:rFonts w:ascii="Arial" w:hAnsi="Arial" w:cs="Arial"/>
          <w:bCs/>
          <w:sz w:val="26"/>
          <w:szCs w:val="26"/>
          <w:lang w:val="ro-RO"/>
        </w:rPr>
      </w:pPr>
      <w:r>
        <w:rPr>
          <w:rFonts w:cs="Arial" w:ascii="Arial" w:hAnsi="Arial"/>
          <w:bCs/>
          <w:sz w:val="26"/>
          <w:szCs w:val="26"/>
          <w:lang w:val="ro-RO"/>
        </w:rPr>
        <w:t>(7) Prin derogare de la art. 6 alin. (1) din Legea nr. 56/2020 pentru recunoaşterea meritelor personalului medical participant la acţiuni medicale  împotriva COVID-19, cu modificările și completările ulterioare,  în anul 2022, drepturile acordate potrivit art. 4 alin. (1) lit. b), alin. (2) şi art. 5 nu se indexează, cu rata medie anuală a inflaţiei.</w:t>
      </w:r>
    </w:p>
    <w:p>
      <w:pPr>
        <w:pStyle w:val="Normal"/>
        <w:spacing w:lineRule="auto" w:line="240" w:before="0" w:after="0"/>
        <w:ind w:firstLine="720"/>
        <w:jc w:val="both"/>
        <w:rPr/>
      </w:pPr>
      <w:r>
        <w:rPr>
          <w:rFonts w:cs="Arial" w:ascii="Arial" w:hAnsi="Arial"/>
          <w:b/>
          <w:bCs/>
          <w:sz w:val="26"/>
          <w:szCs w:val="26"/>
          <w:lang w:val="ro-RO"/>
        </w:rPr>
        <w:t>ART. XLV -</w:t>
      </w:r>
      <w:r>
        <w:rPr>
          <w:rFonts w:cs="Helv" w:ascii="Helv" w:hAnsi="Helv"/>
          <w:sz w:val="26"/>
          <w:szCs w:val="26"/>
          <w:lang w:val="ro-RO"/>
        </w:rPr>
        <w:t xml:space="preserve"> După alineatul (2^4) al articolului 98 din Ordonanţa de urgenţă a Guvernului nr. 195/2002 privind circulaţia pe drumurile publice, republicată în Monitorul Oficial al României, Partea I, nr. 670 din 3 august 2006, cu modificările şi completările ulterioare, se introduce un nou alineat, alineatul (2^5), cu următorul cuprins:</w:t>
      </w:r>
    </w:p>
    <w:p>
      <w:pPr>
        <w:pStyle w:val="Normal"/>
        <w:spacing w:lineRule="auto" w:line="240" w:before="120" w:after="0"/>
        <w:ind w:firstLine="720"/>
        <w:jc w:val="both"/>
        <w:rPr/>
      </w:pPr>
      <w:r>
        <w:rPr>
          <w:rFonts w:cs="Helv" w:ascii="Helv" w:hAnsi="Helv"/>
          <w:sz w:val="26"/>
          <w:szCs w:val="26"/>
          <w:lang w:val="ro-RO"/>
        </w:rPr>
        <w:t>"(2^5) Prin excepţie de la prevederile alin. (2), în perioada 1 ianuarie - 31 decembrie 2022 un punct-amendă este 145 lei."</w:t>
      </w:r>
    </w:p>
    <w:p>
      <w:pPr>
        <w:pStyle w:val="Normal"/>
        <w:spacing w:lineRule="auto" w:line="240" w:before="120" w:after="0"/>
        <w:ind w:firstLine="720"/>
        <w:jc w:val="both"/>
        <w:rPr/>
      </w:pPr>
      <w:r>
        <w:rPr>
          <w:rFonts w:cs="Arial" w:ascii="Arial" w:hAnsi="Arial"/>
          <w:b/>
          <w:sz w:val="26"/>
          <w:szCs w:val="26"/>
          <w:lang w:val="ro-RO"/>
        </w:rPr>
        <w:t xml:space="preserve">ART. XLVI </w:t>
      </w:r>
      <w:r>
        <w:rPr>
          <w:rFonts w:cs="Arial" w:ascii="Arial" w:hAnsi="Arial"/>
          <w:sz w:val="26"/>
          <w:szCs w:val="26"/>
          <w:lang w:val="ro-RO"/>
        </w:rPr>
        <w:t>– După alineatul (2) al articolului 164 din Legea nr.53/2003-Codul muncii, republicată în Monitorul Oficial al României, Partea I, nr. 345 din 18 mai 2011, cu modificările şi completările ulterioare, se introduc două noi alineate, alin. (2^1) și alin. (2^2), cu următorul cuprins:</w:t>
      </w:r>
    </w:p>
    <w:p>
      <w:pPr>
        <w:pStyle w:val="Normal"/>
        <w:spacing w:lineRule="auto" w:line="240" w:before="120" w:after="0"/>
        <w:ind w:firstLine="720"/>
        <w:jc w:val="both"/>
        <w:rPr>
          <w:rFonts w:ascii="Arial" w:hAnsi="Arial" w:cs="Arial"/>
          <w:sz w:val="26"/>
          <w:szCs w:val="26"/>
          <w:lang w:val="ro-RO"/>
        </w:rPr>
      </w:pPr>
      <w:r>
        <w:rPr>
          <w:rFonts w:cs="Arial" w:ascii="Arial" w:hAnsi="Arial"/>
          <w:sz w:val="26"/>
          <w:szCs w:val="26"/>
          <w:lang w:val="ro-RO"/>
        </w:rPr>
        <w:t xml:space="preserve">” </w:t>
      </w:r>
      <w:r>
        <w:rPr>
          <w:rFonts w:cs="Arial" w:ascii="Arial" w:hAnsi="Arial"/>
          <w:sz w:val="26"/>
          <w:szCs w:val="26"/>
          <w:lang w:val="ro-RO"/>
        </w:rPr>
        <w:t>(2^1)  Salariul de bază minim brut pe țară garantat în plată stabilit în condițiile alin.(1)  poate fi aplicat pentru un salariat pentru o perioadă de maxim 24 de luni, de la momentul încheierii contractului individual de muncă. După expirarea perioadei respective, timp în care salariatul va fi calificat sau nu, acesta va fi încadrat cu un salariu de bază  superior salariului de bază minim brut pe țară garantat în plată.</w:t>
      </w:r>
    </w:p>
    <w:p>
      <w:pPr>
        <w:pStyle w:val="Normal"/>
        <w:spacing w:lineRule="auto" w:line="240" w:before="120" w:after="0"/>
        <w:ind w:firstLine="720"/>
        <w:jc w:val="both"/>
        <w:rPr/>
      </w:pPr>
      <w:r>
        <w:rPr>
          <w:rFonts w:cs="Arial" w:ascii="Arial" w:hAnsi="Arial"/>
          <w:sz w:val="26"/>
          <w:szCs w:val="26"/>
          <w:lang w:val="ro-RO"/>
        </w:rPr>
        <w:t>(2^2) Prevederile alin. (2^1) se aplică și pentru salariatul încadrat cu salariul de bază minim brut pe țară garantat în plată, care are deja încheiat un contract individual de muncă cu o durată de peste 24 de luni. ”</w:t>
      </w:r>
    </w:p>
    <w:p>
      <w:pPr>
        <w:pStyle w:val="Normal"/>
        <w:spacing w:lineRule="auto" w:line="240" w:before="120" w:after="0"/>
        <w:jc w:val="both"/>
        <w:rPr/>
      </w:pPr>
      <w:r>
        <w:rPr>
          <w:rFonts w:cs="Arial" w:ascii="Arial" w:hAnsi="Arial"/>
          <w:b/>
          <w:sz w:val="26"/>
          <w:szCs w:val="26"/>
          <w:lang w:val="ro-RO"/>
        </w:rPr>
        <w:tab/>
        <w:t xml:space="preserve">ART. XLVII - </w:t>
      </w:r>
      <w:r>
        <w:rPr>
          <w:rFonts w:cs="Arial" w:ascii="Arial" w:hAnsi="Arial"/>
          <w:sz w:val="26"/>
          <w:szCs w:val="26"/>
          <w:lang w:val="ro-RO"/>
        </w:rPr>
        <w:t xml:space="preserve">Articolul 11, alin (4) din Ordonanța de urgență a Guvernului nr. 130/2020 privind unele măsuri pentru acordarea de sprijin financiar din fonduri externe nerambursabile, aferente Programului operațional Competitivitate 2014-2020, în contextul crizei provocate de COVID-19, precum și alte măsuri în domeniul fondurilor europene, se modifică și va avea următorul cuprins: </w:t>
      </w:r>
    </w:p>
    <w:p>
      <w:pPr>
        <w:pStyle w:val="Normal"/>
        <w:spacing w:lineRule="auto" w:line="240" w:before="120" w:after="0"/>
        <w:ind w:firstLine="720"/>
        <w:jc w:val="both"/>
        <w:rPr/>
      </w:pPr>
      <w:r>
        <w:rPr>
          <w:rFonts w:cs="Arial" w:ascii="Arial" w:hAnsi="Arial"/>
          <w:sz w:val="26"/>
          <w:szCs w:val="26"/>
          <w:lang w:val="ro-RO"/>
        </w:rPr>
        <w:tab/>
        <w:t>“Pentru aplicațiile de finanțare depuse până la data de 28 octombrie 2020 inclusiv, fondurile alocate pentru granturile destinate capitalului de lucru sunt în valoare de 3.802.639.545 lei, din care 3.286.765.859 lei fonduri externe nerambursabile, 515.873.686 lei fonduri de la bugetul de stat, la care se adaugă de la bugetul de stat 570.000.000 lei pentru plata tuturor aplicațiilor eligibile a căror valoare excede plafonului contractului de finanțare încheiat conform articolului 16, alin. (1), lit. c, din prezentul act normativ.”</w:t>
      </w:r>
    </w:p>
    <w:p>
      <w:pPr>
        <w:pStyle w:val="Normal"/>
        <w:spacing w:lineRule="auto" w:line="240" w:before="120" w:after="0"/>
        <w:jc w:val="both"/>
        <w:rPr>
          <w:rFonts w:ascii="Arial" w:hAnsi="Arial" w:cs="Arial"/>
          <w:sz w:val="26"/>
          <w:szCs w:val="26"/>
          <w:lang w:val="ro-RO"/>
        </w:rPr>
      </w:pPr>
      <w:r>
        <w:rPr>
          <w:rFonts w:cs="Arial" w:ascii="Arial" w:hAnsi="Arial"/>
          <w:sz w:val="26"/>
          <w:szCs w:val="26"/>
          <w:lang w:val="ro-RO"/>
        </w:rPr>
      </w:r>
    </w:p>
    <w:p>
      <w:pPr>
        <w:pStyle w:val="Normal"/>
        <w:spacing w:lineRule="auto" w:line="240" w:before="120" w:after="0"/>
        <w:jc w:val="center"/>
        <w:rPr>
          <w:rFonts w:ascii="Arial" w:hAnsi="Arial" w:cs="Arial"/>
          <w:sz w:val="26"/>
          <w:szCs w:val="26"/>
          <w:lang w:val="ro-RO"/>
        </w:rPr>
      </w:pPr>
      <w:r>
        <w:rPr>
          <w:rFonts w:cs="Arial" w:ascii="Arial" w:hAnsi="Arial"/>
          <w:sz w:val="26"/>
          <w:szCs w:val="26"/>
          <w:lang w:val="ro-RO"/>
        </w:rPr>
        <w:t>PRIM-MINISTRU</w:t>
      </w:r>
    </w:p>
    <w:p>
      <w:pPr>
        <w:pStyle w:val="Normal"/>
        <w:spacing w:lineRule="auto" w:line="240" w:before="120" w:after="0"/>
        <w:jc w:val="center"/>
        <w:rPr>
          <w:rFonts w:ascii="Arial" w:hAnsi="Arial" w:cs="Arial"/>
          <w:sz w:val="26"/>
          <w:szCs w:val="26"/>
          <w:lang w:val="ro-RO"/>
        </w:rPr>
      </w:pPr>
      <w:r>
        <w:rPr>
          <w:rFonts w:cs="Arial" w:ascii="Arial" w:hAnsi="Arial"/>
          <w:sz w:val="26"/>
          <w:szCs w:val="26"/>
          <w:lang w:val="ro-RO"/>
        </w:rPr>
        <w:t>Nicolae-Ionel CIUCĂ</w:t>
      </w:r>
    </w:p>
    <w:p>
      <w:pPr>
        <w:pStyle w:val="Normal"/>
        <w:spacing w:lineRule="auto" w:line="240" w:before="120" w:after="0"/>
        <w:rPr>
          <w:rFonts w:ascii="Arial" w:hAnsi="Arial" w:cs="Arial"/>
          <w:sz w:val="26"/>
          <w:szCs w:val="26"/>
          <w:lang w:val="ro-RO"/>
        </w:rPr>
      </w:pPr>
      <w:r>
        <w:rPr>
          <w:rFonts w:cs="Arial" w:ascii="Arial" w:hAnsi="Arial"/>
          <w:sz w:val="26"/>
          <w:szCs w:val="26"/>
          <w:lang w:val="ro-RO"/>
        </w:rPr>
      </w:r>
    </w:p>
    <w:p>
      <w:pPr>
        <w:pStyle w:val="Normal"/>
        <w:spacing w:lineRule="auto" w:line="240" w:before="120" w:after="0"/>
        <w:rPr>
          <w:rFonts w:ascii="Arial" w:hAnsi="Arial" w:cs="Arial"/>
          <w:sz w:val="26"/>
          <w:szCs w:val="26"/>
          <w:lang w:val="ro-RO"/>
        </w:rPr>
      </w:pPr>
      <w:r>
        <w:rPr>
          <w:rFonts w:cs="Arial" w:ascii="Arial" w:hAnsi="Arial"/>
          <w:sz w:val="26"/>
          <w:szCs w:val="26"/>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40" w:before="120" w:after="0"/>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76" w:before="120" w:after="0"/>
        <w:jc w:val="right"/>
        <w:rPr>
          <w:lang w:val="es-ES"/>
        </w:rPr>
      </w:pPr>
      <w:r>
        <w:rPr>
          <w:rFonts w:cs="Times New Roman" w:ascii="Times New Roman" w:hAnsi="Times New Roman"/>
          <w:sz w:val="24"/>
          <w:szCs w:val="24"/>
          <w:lang w:val="ro-RO"/>
        </w:rPr>
        <w:t>Anexa</w:t>
      </w:r>
    </w:p>
    <w:p>
      <w:pPr>
        <w:pStyle w:val="Normal"/>
        <w:spacing w:lineRule="auto" w:line="276" w:before="120" w:after="0"/>
        <w:jc w:val="right"/>
        <w:rPr>
          <w:lang w:val="es-ES"/>
        </w:rPr>
      </w:pPr>
      <w:r>
        <w:rPr>
          <w:rFonts w:cs="Times New Roman" w:ascii="Times New Roman" w:hAnsi="Times New Roman"/>
          <w:sz w:val="24"/>
          <w:szCs w:val="24"/>
          <w:lang w:val="ro-RO"/>
        </w:rPr>
        <w:t>(Anexa la Legea nr. 241/2005)</w:t>
      </w:r>
    </w:p>
    <w:p>
      <w:pPr>
        <w:pStyle w:val="Normal"/>
        <w:spacing w:lineRule="auto" w:line="276" w:before="120" w:after="0"/>
        <w:jc w:val="right"/>
        <w:rPr>
          <w:rFonts w:ascii="Times New Roman" w:hAnsi="Times New Roman" w:cs="Times New Roman"/>
          <w:sz w:val="24"/>
          <w:szCs w:val="24"/>
          <w:lang w:val="ro-RO"/>
        </w:rPr>
      </w:pPr>
      <w:r>
        <w:rPr>
          <w:rFonts w:cs="Times New Roman" w:ascii="Times New Roman" w:hAnsi="Times New Roman"/>
          <w:sz w:val="24"/>
          <w:szCs w:val="24"/>
          <w:lang w:val="ro-RO"/>
        </w:rPr>
      </w:r>
    </w:p>
    <w:p>
      <w:pPr>
        <w:pStyle w:val="Normal"/>
        <w:spacing w:lineRule="auto" w:line="276" w:before="120" w:after="0"/>
        <w:jc w:val="both"/>
        <w:rPr/>
      </w:pPr>
      <w:r>
        <w:rPr>
          <w:rFonts w:cs="Times New Roman" w:ascii="Times New Roman" w:hAnsi="Times New Roman"/>
          <w:sz w:val="24"/>
          <w:szCs w:val="24"/>
          <w:lang w:val="ro-RO"/>
        </w:rPr>
        <w:t>Impozitele și contribuțiile care intră sub incidența articolului 6^1</w:t>
      </w:r>
    </w:p>
    <w:p>
      <w:pPr>
        <w:pStyle w:val="ListParagraph"/>
        <w:spacing w:lineRule="auto" w:line="276" w:before="120" w:after="0"/>
        <w:ind w:left="1080" w:hanging="0"/>
        <w:contextualSpacing/>
        <w:rPr>
          <w:rFonts w:ascii="Times New Roman" w:hAnsi="Times New Roman" w:cs="Times New Roman"/>
          <w:sz w:val="24"/>
          <w:szCs w:val="24"/>
          <w:lang w:val="ro-RO"/>
        </w:rPr>
      </w:pPr>
      <w:r>
        <w:rPr>
          <w:rFonts w:cs="Times New Roman" w:ascii="Times New Roman" w:hAnsi="Times New Roman"/>
          <w:sz w:val="24"/>
          <w:szCs w:val="24"/>
          <w:lang w:val="ro-RO"/>
        </w:rPr>
      </w:r>
    </w:p>
    <w:tbl>
      <w:tblPr>
        <w:tblW w:w="9223" w:type="dxa"/>
        <w:jc w:val="left"/>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4" w:type="dxa"/>
          <w:left w:w="5" w:type="dxa"/>
          <w:bottom w:w="0" w:type="dxa"/>
          <w:right w:w="106" w:type="dxa"/>
        </w:tblCellMar>
        <w:tblLook w:firstRow="1" w:noVBand="1" w:lastRow="0" w:firstColumn="1" w:lastColumn="0" w:noHBand="0" w:val="04a0"/>
      </w:tblPr>
      <w:tblGrid>
        <w:gridCol w:w="747"/>
        <w:gridCol w:w="3359"/>
        <w:gridCol w:w="5093"/>
        <w:gridCol w:w="23"/>
      </w:tblGrid>
      <w:tr>
        <w:trPr>
          <w:trHeight w:val="503"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Nr.crt.</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Denumirea obligației fiscale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Temeiul legal</w:t>
            </w:r>
          </w:p>
        </w:tc>
      </w:tr>
      <w:tr>
        <w:trPr>
          <w:trHeight w:val="117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dividendele plătite de o persoană juridică română către o persoană juridică română</w:t>
            </w:r>
          </w:p>
          <w:p>
            <w:pPr>
              <w:pStyle w:val="Normal"/>
              <w:spacing w:lineRule="auto" w:line="276" w:before="120" w:after="0"/>
              <w:jc w:val="both"/>
              <w:rPr>
                <w:rFonts w:ascii="Times New Roman" w:hAnsi="Times New Roman" w:cs="Times New Roman"/>
                <w:sz w:val="24"/>
                <w:szCs w:val="24"/>
                <w:lang w:val="ro-RO"/>
              </w:rPr>
            </w:pPr>
            <w:r>
              <w:rPr>
                <w:rFonts w:cs="Times New Roman" w:ascii="Times New Roman" w:hAnsi="Times New Roman"/>
                <w:sz w:val="24"/>
                <w:szCs w:val="24"/>
                <w:lang w:val="ro-RO"/>
              </w:rPr>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privind Codul fiscal, cu modificările și completările ulterioare, art. 43</w:t>
            </w:r>
          </w:p>
        </w:tc>
      </w:tr>
      <w:tr>
        <w:trPr>
          <w:trHeight w:val="1133"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2.</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pentru veniturile din activități independente realizate în baza contractelor de activitate sportivă</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Legea nr. 227/2015, cu modificările si completările ulterioare, art. 68 </w:t>
            </w:r>
            <w:r>
              <w:rPr>
                <w:rFonts w:cs="Times New Roman" w:ascii="Times New Roman" w:hAnsi="Times New Roman"/>
                <w:sz w:val="24"/>
                <w:szCs w:val="24"/>
                <w:vertAlign w:val="superscript"/>
                <w:lang w:val="ro-RO"/>
              </w:rPr>
              <w:t xml:space="preserve">^ </w:t>
            </w:r>
            <w:r>
              <w:rPr>
                <w:rFonts w:cs="Times New Roman" w:ascii="Times New Roman" w:hAnsi="Times New Roman"/>
                <w:sz w:val="24"/>
                <w:szCs w:val="24"/>
                <w:lang w:val="ro-RO"/>
              </w:rPr>
              <w:t>1 alin. (2) și (4)</w:t>
            </w:r>
          </w:p>
        </w:tc>
      </w:tr>
      <w:tr>
        <w:trPr>
          <w:trHeight w:val="1520"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3.</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din drepturile de proprietate intelectuală</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72 alin. (4) și (5)</w:t>
            </w:r>
          </w:p>
        </w:tc>
      </w:tr>
      <w:tr>
        <w:trPr>
          <w:trHeight w:val="1223" w:hRule="atLeast"/>
        </w:trPr>
        <w:tc>
          <w:tcPr>
            <w:tcW w:w="747"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4.</w:t>
            </w:r>
          </w:p>
        </w:tc>
        <w:tc>
          <w:tcPr>
            <w:tcW w:w="3359" w:type="dxa"/>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 pe venitul din salarii si asimilate salariilor</w:t>
            </w:r>
          </w:p>
        </w:tc>
        <w:tc>
          <w:tcPr>
            <w:tcW w:w="5116" w:type="dxa"/>
            <w:gridSpan w:val="2"/>
            <w:tcBorders>
              <w:top w:val="single" w:sz="4"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Legea nr. 227/2015, cu modificările si completările ulterioare, art. 78,alin. (1), (2^1), (3) și (4), art. 80 alin. (1) și (2) și art. 82 alin. (4) </w:t>
            </w:r>
          </w:p>
        </w:tc>
      </w:tr>
      <w:tr>
        <w:trPr>
          <w:trHeight w:val="1210" w:hRule="atLeast"/>
        </w:trPr>
        <w:tc>
          <w:tcPr>
            <w:tcW w:w="747"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5.</w:t>
            </w:r>
          </w:p>
        </w:tc>
        <w:tc>
          <w:tcPr>
            <w:tcW w:w="3359" w:type="dxa"/>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din arendă</w:t>
            </w:r>
          </w:p>
        </w:tc>
        <w:tc>
          <w:tcPr>
            <w:tcW w:w="5116" w:type="dxa"/>
            <w:gridSpan w:val="2"/>
            <w:tcBorders>
              <w:top w:val="single" w:sz="2" w:space="0" w:color="000000"/>
              <w:left w:val="single" w:sz="2" w:space="0" w:color="000000"/>
              <w:bottom w:val="single" w:sz="4" w:space="0" w:color="000000"/>
              <w:right w:val="single" w:sz="2" w:space="0" w:color="000000"/>
              <w:insideH w:val="single" w:sz="4" w:space="0" w:color="000000"/>
              <w:insideV w:val="single" w:sz="2"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84 alin. (8) și (9)</w:t>
            </w:r>
          </w:p>
        </w:tc>
      </w:tr>
      <w:tr>
        <w:trPr>
          <w:trHeight w:val="1133"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6.</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sub formă de dobânzi</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97 alin. (1) – (4)</w:t>
            </w:r>
          </w:p>
        </w:tc>
      </w:tr>
      <w:tr>
        <w:trPr>
          <w:trHeight w:val="1133"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7.</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impozabile obținute din lichidarea unei persoane juridice sau din reducerea capitalului social, potrivit legii</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97 alin. (5)</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8.</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 pe veniturile sub forma de dividende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97 alin. (7)</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 </w:t>
            </w:r>
            <w:r>
              <w:rPr>
                <w:rFonts w:cs="Times New Roman" w:ascii="Times New Roman" w:hAnsi="Times New Roman"/>
                <w:sz w:val="24"/>
                <w:szCs w:val="24"/>
                <w:lang w:val="ro-RO"/>
              </w:rPr>
              <w:t>9.</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din pensii</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Legea nr. 227/2015, cu modificările și completările ulterioare, art. 101 alin. (1), (3), (8) și (9) </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10.</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din premii și din jocuri de noroc</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110 alin. (1), (2), (2^1) ,(3) și (6)</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11.</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din alte surse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si completările ulterioare, art. 115 alin. (1), (1^2) și (3)</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12.</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obținute de o persoană fizică dintr-o asociere cu o persoană juridică, contribuabil potrivit titlului II din Legea nr. 227/2015 cu modificările și completările ulterioare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125 alin. (8)</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13.</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obținute de o persoană fizică  sau entitate - asociere fără personalitate juridică dintr-o asociere cu o persoană juridică, contribuabil potrivit Legii nr. 170/2016 privind impozitul specific, cu modificările și completările ulterioare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125 alin. (8^1)</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14.</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Impozitul pe veniturile obținute de o persoană fizică dintr-o asociere cu o persoană juridică, contribuabil potrivit titlului III din Legea nr. 227/2015 cu modificările și completările ulterioare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 cu modificările și completările ulterioare, art. 125 alin. (9)</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15.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Contribuția de asigurări sociale </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146 alin. (1), (2^1) lit. a) - b), (3), (9), (9^1), (10) și art. 151 alin. (5), (6) și (21) .</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16.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Contribuția de asigurări sociale de sănătate</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168 alin. (1), (2^1) lit. a) - b), (3), (7), (7^1) și (10) și art. 174 alin. (5), (6) și (21)</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17.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Impozitul cu reținere la sursă pe veniturile obținute din România de nerezidenți </w:t>
            </w:r>
          </w:p>
        </w:tc>
        <w:tc>
          <w:tcPr>
            <w:tcW w:w="5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2"/>
              </w:numPr>
              <w:spacing w:lineRule="auto" w:line="276" w:before="120" w:after="0"/>
              <w:jc w:val="both"/>
              <w:rPr/>
            </w:pPr>
            <w:r>
              <w:rPr>
                <w:rFonts w:cs="Times New Roman" w:ascii="Times New Roman" w:hAnsi="Times New Roman"/>
                <w:sz w:val="24"/>
                <w:szCs w:val="24"/>
                <w:lang w:val="ro-RO"/>
              </w:rPr>
              <w:t>Legea nr. 227/2015, cu modificările și completările ulterioare, art. 223 alin.(1), art. 224 alin.(1), (2), (5), (6), art. 227 alin. (1), art. 230 alin. (1), art.233 alin. (2), lit. e) și art. 233 alin. (3).</w:t>
            </w:r>
          </w:p>
          <w:p>
            <w:pPr>
              <w:pStyle w:val="Normal"/>
              <w:numPr>
                <w:ilvl w:val="0"/>
                <w:numId w:val="2"/>
              </w:numPr>
              <w:spacing w:lineRule="auto" w:line="276" w:before="120" w:after="0"/>
              <w:jc w:val="both"/>
              <w:rPr/>
            </w:pPr>
            <w:r>
              <w:rPr>
                <w:rFonts w:cs="Times New Roman" w:ascii="Times New Roman" w:hAnsi="Times New Roman"/>
                <w:bCs/>
                <w:sz w:val="24"/>
                <w:szCs w:val="24"/>
                <w:lang w:val="ro-RO"/>
              </w:rPr>
              <w:t>Acordul dintre România şi Republica Africa de Sud pentru evitarea dublei impuneri şi prevenirea evaziunii fiscale cu privire la impozitele pe venit şi pe câştigurile din capital ratificat prin Legea  nr. 59 din 13 iulie 1994</w:t>
            </w:r>
            <w:r>
              <w:rPr>
                <w:rFonts w:cs="Times New Roman" w:ascii="Times New Roman" w:hAnsi="Times New Roman"/>
                <w:sz w:val="24"/>
                <w:szCs w:val="24"/>
                <w:lang w:val="ro-RO"/>
              </w:rPr>
              <w:t xml:space="preserve"> </w:t>
            </w:r>
            <w:r>
              <w:rPr>
                <w:rFonts w:cs="Times New Roman" w:ascii="Times New Roman" w:hAnsi="Times New Roman"/>
                <w:bCs/>
                <w:sz w:val="24"/>
                <w:szCs w:val="24"/>
                <w:lang w:val="ro-RO"/>
              </w:rPr>
              <w:t xml:space="preserve">pentru ratificarea Acordului dintre România şi Republica Africa de Sud pentru evitarea dublei impuneri şi prevenirea evaziunii fiscale cu privire la impozitele pe venit şi pe câştigurile din capital -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Albania pentru evitarea dublei impuneri şi prevenirea evaziunii fiscale cu privire la impozitele pe venit şi pe capital ratificată prin Legea  nr. 86 din 18 octombrie 1994 privind ratificarea Convenţiei dintre Guvernul României şi Guvernul Republicii Albania pentru evitarea dublei impuneri şi prevenirea evaziunii fiscale cu privire la impozitele pe venit şi pe capital, semnată la Bucureşti la 11 mai 1994 -  Art. 10 paragraf 2, art. 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Algeriene Democratice şi Populare pentru evitarea dublei impuneri în materie de impozite pe venit şi pe avere şi a Protocolului anexat ratificată prin Legea nr. 25 din 12 aprilie 1995 privind ratificarea Convenţiei dintre Guvernul României şi Guvernul Republicii Algeriene Democratice şi Populare pentru evitarea dublei impuneri în materie de impozite pe venit şi pe avere şi a Protocolului anexat, semnate la Alger la 28 iunie 1994 - Art. 10 paragraf 2, art.11 paragraf 2 ,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Regatului Arabiei Saudite pentru evitarea dublei impuneri şi prevenirea evaziunii fiscale cu privire la impozitele pe venit şi a protocolului la convenţie ratificată prin Legea nr. 259 din 7 decembrie 2011 privind ratificarea Convenţiei dintre Guvernul României şi Guvernul Regatului Arabiei Saudite pentru evitarea dublei impuneri şi prevenirea evaziunii fiscale cu privire la impozitele pe venit şi a protocolului la convenţie, semnate la Riad la 26 aprilie 2011 - </w:t>
            </w:r>
            <w:r>
              <w:rPr>
                <w:rFonts w:cs="Times New Roman" w:ascii="Times New Roman" w:hAnsi="Times New Roman"/>
                <w:bCs/>
                <w:sz w:val="24"/>
                <w:szCs w:val="24"/>
                <w:lang w:val="ro-RO"/>
              </w:rPr>
              <w:t xml:space="preserve">Art. 10 paragraf 2, art. 11 alin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Armenia pentru evitarea dublei impuneri şi prevenirea evaziunii fiscale cu privire la impozitele pe venit şi pe capital şi a Protocolului-anexă ratificată prin Legea nr. 121 din  9 iulie 1997 pentru ratificarea Convenţiei dintre Guvernul României şi Guvernul Republicii Armenia pentru evitarea dublei impuneri şi prevenirea evaziunii fiscale cu privire la impozitele pe venit şi pe capital şi a Protocolului-anexă, semnate la Erevan la 25 martie 1996 -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Acordul dintre România şi Australia pentru evitarea dublei impuneri şi prevenirea evaziunii fiscale cu privire la impozitele pe venit şi a Protocolului anexat ratificată prin Legea nr. 85 din 20 martie 2001 privind ratificarea Acordului dintre România şi Australia pentru evitarea dublei impuneri şi prevenirea evaziunii fiscale cu privire la impozitele pe venit şi a Protocolului anexat, semnate la Canberra la 2 februarie 2000 – Art.10 paragraf 2, art.11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Legea nr. 333 din 15 noiembrie 2005 privind ratificarea Convenţiei dintre România şi Republica Austria pentru evitarea dublei impuneri şi prevenirea evaziunii fiscale cu privire la impozitele pe venit şi pe capital şi a protocolului-anexă, semnate la Bucureşti la 30 martie 2005 – art. 10 paragraf 2, art.11 paragraf  2 coroborat cu punctul 2 din Protocolul anexa la convenție,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România şi Republica Azerbaidjan pentru evitarea dublei impuneri şi prevenirea evaziunii fiscale cu privire la impozitele pe venit şi pe capital ratificată prin Legea nr. 366 din 19 septembrie 2003 pentru ratificarea Convenţiei dintre România şi Republica Azerbaidjan pentru evitarea dublei impuneri şi prevenirea evaziunii fiscale cu privire la impozitele pe venit şi pe capital, semnată la Baku la 29 octombrie 2002 – Art. 10 paragraf 2, art.11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Convenția între Guvernul Republicii Socialiste România şi Guvernul Republicii Populare Bangladesh pentru evitarea dublei impuneri şi prevenirea evaziuni fiscale cu privire la impozitele pe venit ratificată prin articolul 2 al Decretului nr. 221 din  4 septembrie 1987 pentru ratificarea unor tratate internaţionale – Convenție între Guvernul Republicii Socialiste România şi Guvernul Republicii Populare Bangladesh pentru evitarea dublei impuneri şi prevenirea evaziuni fiscale cu privire la impozitele pe venit – Art. 10 paragraf 2, art. 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Belarus pentru evitarea dublei impuneri şi prevenirea evaziunii fiscale cu privire la impozitele pe venit şi pe capital şi a Protocolului anexat ratificată prin Legea nr. 102 din 26 mai 1998 privind ratificarea Convenţiei dintre Guvernul României şi Guvernul Republicii Belarus pentru evitarea dublei impuneri şi prevenirea evaziunii fiscale cu privire la impozitele pe venit şi pe capital şi a Protocolului anexat, semnate la Bucureşti la 22 iulie 1997 – Art. 10 paragraf 2, art.11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Regatului Belgiei pentru evitarea dublei impuneri şi prevenirea evaziunii fiscale cu privire la impozitele pe venit şi pe capital ratificată prin Legea nr. 126 din 16 octombrie 1996 privind ratificarea Convenţiei dintre Guvernul României şi Guvernul Regatului Belgiei pentru evitarea dublei impuneri şi prevenirea evaziunii fiscale cu privire la impozitele pe venit şi pe capital, semnată la Bruxelles la 4 martie 1996 – Art. 10 paragraf 2, art. 11 paragraf 2, art. 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bCs/>
                <w:sz w:val="24"/>
                <w:szCs w:val="24"/>
              </w:rPr>
              <w:t xml:space="preserve">Convenția dintre România și Bosnia și Herțegovina pentru evitarea dublei impuneri și prevenirea evaziunii fiscale cu privire la impozitele pe venit ratificată prin Legea nr. 75/2018 din 22 martie 2018 pentru ratificarea Convenției dintre România și Bosnia și Herțegovina pentru evitarea dublei impuneri și prevenirea evaziunii fiscale cu privire la impozitele pe venit, semnată la Sarajevo la 6 decembrie 2016 – Art.10 paragraf 2, art.11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rPr>
              <w:t>.</w:t>
            </w:r>
          </w:p>
          <w:p>
            <w:pPr>
              <w:pStyle w:val="Normal"/>
              <w:numPr>
                <w:ilvl w:val="0"/>
                <w:numId w:val="2"/>
              </w:numPr>
              <w:spacing w:lineRule="auto" w:line="276" w:before="120" w:after="0"/>
              <w:jc w:val="both"/>
              <w:rPr/>
            </w:pPr>
            <w:r>
              <w:rPr>
                <w:rFonts w:cs="Times New Roman" w:ascii="Times New Roman" w:hAnsi="Times New Roman"/>
                <w:bCs/>
                <w:sz w:val="24"/>
                <w:szCs w:val="24"/>
              </w:rPr>
              <w:t>Convenția dintre România și Republica Bulgaria pentru evitarea dublei impuneri și prevenirea evaziunii fiscal cu privire la impozitele pe venit ratificată prin Legea nr. 29/2016 din 17 martie 2016 privind ratificarea Convenției dintre România și Republica Bulgaria pentru evitarea dublei impuneri și prevenirea evaziunii fiscal cu privire la impozitele pe venit, semnată la Craiova la 24 aprilie 2015 – Art.10 paragraf 2, art.11 paragraf 2, art.12 paragraf 2</w:t>
            </w:r>
            <w:r>
              <w:rPr>
                <w:rFonts w:cs="Times New Roman" w:ascii="Times New Roman" w:hAnsi="Times New Roman"/>
                <w:b/>
                <w:bCs/>
                <w:sz w:val="24"/>
                <w:szCs w:val="24"/>
              </w:rPr>
              <w:t xml:space="preserve">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
                <w:bCs/>
                <w:sz w:val="24"/>
                <w:szCs w:val="24"/>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România şi Canada pentru evitarea dublei impuneri şi prevenirea evaziunii fiscale cu privire la impozitele pe venit şi pe capital ratificată prin Legea nr. 450 din  1 noiembrie 2004 privind ratificarea Convenţiei dintre România şi Canada pentru evitarea dublei impuneri şi prevenirea evaziunii fiscale cu privire la impozitele pe venit şi pe capital, semnată la Ottawa la 8 aprilie 2004 –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Cehe pentru evitarea dublei impuneri şi prevenirea evaziunii fiscale cu privire la impozitele pe venit şi pe capital ratificată prin Legea  nr. 37 din 16 iunie 1994 pentru ratificarea Convenţiei dintre Guvernul României şi Guvernul Republicii Cehe pentru evitarea dublei impuneri şi prevenirea evaziunii fiscale cu privire la impozitele pe venit şi pe capital, semnată la Bucureşti la 8 noiembrie 1993 – Art.10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România şi Republica Populară Chineză pentru eliminarea dublei impuneri cu privire la impozitele pe venit şi prevenirea evaziunii fiscale şi a evitării plăţii impozitelor ratificat prin Legea nr. 99/2017 din 9 mai 2017 privind ratificarea Acordului dintre România şi Republica Populară Chineză pentru eliminarea dublei impuneri cu privire la impozitele pe venit şi prevenirea evaziunii fiscale şi a evitării plăţii impozitelor, semnat la Bucureşti la 4 iulie 2016 – Art.10 paragraf 2, art.11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Convenția între guvernul Republicii Socialiste România şi guvernul Republicii Cipru pentru evitarea dublei impuneri şi prevenirea evaziunii fiscale cu privire la impozitele pe venit şi pe avere ratificată prin Decretul  nr. 261 din  9 iulie 1982 pentru ratificarea unor tratate internaţionale – Convenție între guvernul Republicii Socialiste România şi guvernul Republicii Cipru pentru evitarea dublei impuneri şi prevenirea evaziunii fiscale cu privire la impozitele pe venit şi pe avere – Art.10 paragraf 2, art.11 paragraf 2, art.12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Coreea pentru evitarea dublei impuneri şi prevenirea evaziunii fiscale cu privire la impozitele pe venit şi pe capital ratificată prin Legea nr. 18 din  8 aprilie 1994 pentru ratificarea Convenţiei dintre Guvernul României şi Guvernul Republicii Coreea pentru evitarea dublei impuneri şi prevenirea evaziunii fiscale cu privire la impozitele pe venit şi pe capital – Art. 10 paragraf  2, art. 11 paragraf 2, art.12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Populare Democrate Coreene pentru evitarea dublei impuneri cu privire la impozitele pe venit şi pe capital ratificată prin Legea nr. 104 din 19 iunie 2000 privind ratificarea Convenţiei dintre Guvernul României şi Guvernul Republicii Populare Democrate Coreene pentru evitarea dublei impuneri cu privire la impozitele pe venit şi pe capital, semnată la Bucureşti la 23 ianuarie 1998 – Art.10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Acordul dintre Guvernul României şi Guvernul Republicii Croaţia pentru evitarea dublei impuneri cu privire la impozitele pe venit şi pe capital ratificat prin Legea nr. 127 din 16 octombrie 1996 privind ratificarea Acordului dintre Guvernul României şi Guvernul Republicii Croaţia pentru evitarea dublei impuneri cu privire la impozitele pe venit şi pe capital, semnat la Zagreb la 25 ianuarie 1996 – Art.10 paragraf 2, art.11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Convenția</w:t>
            </w:r>
            <w:r>
              <w:rPr>
                <w:rFonts w:cs="Times New Roman" w:ascii="Times New Roman" w:hAnsi="Times New Roman"/>
                <w:sz w:val="24"/>
                <w:szCs w:val="24"/>
              </w:rPr>
              <w:t xml:space="preserve"> </w:t>
            </w:r>
            <w:r>
              <w:rPr>
                <w:rFonts w:cs="Times New Roman" w:ascii="Times New Roman" w:hAnsi="Times New Roman"/>
                <w:bCs/>
                <w:sz w:val="24"/>
                <w:szCs w:val="24"/>
                <w:lang w:val="ro-RO"/>
              </w:rPr>
              <w:t>între Republica Socialistă România şi Regatul Danemarca privind evitarea dublei impuneri cu privire la impozitele pe venit şi avere ratificată prin Decretul  nr. 389 din 27 octombrie 1977 pentru ratificarea unor tratate internaţionale – Convenție</w:t>
            </w:r>
            <w:r>
              <w:rPr>
                <w:rFonts w:cs="Times New Roman" w:ascii="Times New Roman" w:hAnsi="Times New Roman"/>
                <w:sz w:val="24"/>
                <w:szCs w:val="24"/>
              </w:rPr>
              <w:t xml:space="preserve"> </w:t>
            </w:r>
            <w:r>
              <w:rPr>
                <w:rFonts w:cs="Times New Roman" w:ascii="Times New Roman" w:hAnsi="Times New Roman"/>
                <w:bCs/>
                <w:sz w:val="24"/>
                <w:szCs w:val="24"/>
                <w:lang w:val="ro-RO"/>
              </w:rPr>
              <w:t xml:space="preserve">între Republica Socialistă România şi Regatul Danemarca privind evitarea dublei impuneri cu privire la impozitele pe venit şi avere – Art.10 paragraf  2, art. 11 paragraf 2, art.12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Guvernul României şi Guvernul Republicii Ecuador privind evitarea dublei impuneri în materie de impozite pe venit, pe capital şi prevenirea evaziunii fiscale ratificată prin Legea nr. 111 din  9 noiembrie 1992 pentru ratificarea Convenţiei dintre Guvernul României şi Guvernul Republicii Ecuador privind evitarea dublei impuneri în materie de impozite pe venit, pe capital şi prevenirea evaziunii fiscale, semnată la Quito la 24 aprilie 1992 – Art. 10 paragraf 2, art.11 paragraf 2, art. 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Convenția între guvernul Republicii Socialiste România şi guvernul Republicii Arabe Egipt pentru evitarea dublei impuneri şi prevenirea evaziunii fiscale cu privire la impozitele pe venit ratificată prin Decretul  nr. 316 din 14 octombrie 1980 pentru ratificarea unor tratate internaţionale – Convenție între guvernul Republicii Socialiste România şi guvernul Republicii Arabe Egipt pentru evitarea dublei impuneri şi prevenirea evaziunii fiscale cu privire la impozitele pe venit – art. 10 paragraf 1 și paragraf 2, art. 11 paragraf  2, art. 12 paragraf  2, art.13 paragraf 2 și paragraf 5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România şi Confederaţia Elveţiană privind evitarea dublei impuneri cu privire la impozitele pe venit şi pe avere şi a Protocolului anexat ratificată prin Legea nr. 60 din 13 iulie 1994 pentru ratificarea Convenţiei dintre România şi Confederaţia Elveţiană privind evitarea dublei impuneri cu privire la impozitele pe venit şi pe avere şi a Protocolului anexat, semnate la Bucureşti la 25 octombrie 1993 - art. 12 paragraf 2 coroborat cu pct. 4 din Protocolul parte la convenție; </w:t>
            </w:r>
            <w:r>
              <w:rPr>
                <w:rFonts w:cs="Times New Roman" w:ascii="Times New Roman" w:hAnsi="Times New Roman"/>
                <w:bCs/>
                <w:sz w:val="24"/>
                <w:szCs w:val="24"/>
              </w:rPr>
              <w:t>Protocolul dintre România şi Confederaţia Elveţiană ratificat prin Legea nr. 261 din  7 decembrie 2011pentru ratificarea Protocolului dintre România şi Confederaţia Elveţiană, semnat la Bucureşti la 28 februarie 2011, de amendare a Convenţiei dintre România şi Confederaţia Elveţiană privind evitarea dublei impuneri cu privire la impozitele pe venit şi pe avere şi a Protocolului anexat, -</w:t>
            </w:r>
            <w:r>
              <w:rPr>
                <w:rFonts w:cs="Times New Roman" w:ascii="Times New Roman" w:hAnsi="Times New Roman"/>
                <w:bCs/>
                <w:sz w:val="24"/>
                <w:szCs w:val="24"/>
                <w:lang w:val="ro-RO"/>
              </w:rPr>
              <w:t xml:space="preserve"> art. IV ”art. 10 paragraf 2”și art. V ”art.11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rPr>
              <w:t xml:space="preserve">Acordul dintre Guvernul României şi Guvernul Emiratelor Arabe Unite pentru evitarea dublei impuneri şi prevenirea evaziunii fiscale cu privire la impozitele pe venit ratificat prin Legea nr. 26/2016 din 17 martie 2016 pentru ratificarea Acordului dintre Guvernul României şi Guvernul Emiratelor Arabe Unite pentru evitarea dublei impuneri şi prevenirea evaziunii fiscale cu privire la impozitele pe venit, semnat la Dubai la 4 mai 2015 – Art. 10 paragraf 2, art. 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România şi Republica Estonia pentru evitarea dublei impuneri şi prevenirea evaziunii fiscale cu privire la impozitele pe venit şi pe capital ratificată prin Legea nr. 449 din  1 noiembrie 2004 privind ratificarea Convenţiei dintre România şi Republica Estonia pentru evitarea dublei impuneri şi prevenirea evaziunii fiscale cu privire la impozitele pe venit şi pe capital, semnată la Bucureşti la 23 octombrie 2003 – art.10 paragraf 2, art.11 paragraf 2, art. 12 paragraf 2, art. 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Convenţia dintre România şi Republica Federală Democrată Etiopia pentru evitarea dublei impuneri şi prevenirea evaziunii fiscale cu privire la impozitele pe venit şi pe capital ratificată prin Legea nr. 448 din  1 noiembrie 2004 privind ratificarea Convenţiei dintre România şi Republica Federală Democrată Etiopia pentru evitarea dublei impuneri şi prevenirea evaziunii fiscale cu privire la impozitele pe venit şi pe capital, semnată la Bucureşti la 6 noiembrie 2003 – Art. 10 paragraf  2, art. 11 paragraf 2, art.12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Federaţiei Ruse pentru evitarea dublei impuneri cu privire la impozitele pe venit şi pe capital ratificată prin Legea nr. 38 din 16 iunie 1994 pentru ratificarea Convenţiei dintre Guvernul României şi Guvernul Federaţiei Ruse pentru evitarea dublei impuneri cu privire la impozitele pe venit şi pe capital, semnată la Moscova la 27 septembrie 1993 - </w:t>
            </w:r>
            <w:r>
              <w:rPr>
                <w:rFonts w:cs="Times New Roman" w:ascii="Times New Roman" w:hAnsi="Times New Roman"/>
                <w:bCs/>
                <w:sz w:val="24"/>
                <w:szCs w:val="24"/>
                <w:lang w:val="ro-RO"/>
              </w:rPr>
              <w:t xml:space="preserve">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Republicii Filipine pentru evitarea dublei impuneri şi prevenirea evaziunii fiscale cu privire la impozitele pe venit ratificată prin Legea nr. 23 din  4 aprilie 1995 privind ratificarea Convenţiei dintre Guvernul României şi Guvernul Republicii Filipine pentru evitarea dublei impuneri şi prevenirea evaziunii fiscale cu privire la impozitele pe venit, semnată la Bucureşti la 18 mai 1994 - </w:t>
            </w:r>
            <w:r>
              <w:rPr>
                <w:rFonts w:cs="Times New Roman" w:ascii="Times New Roman" w:hAnsi="Times New Roman"/>
                <w:bCs/>
                <w:sz w:val="24"/>
                <w:szCs w:val="24"/>
                <w:lang w:val="ro-RO"/>
              </w:rPr>
              <w:t xml:space="preserve">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Acordul dintre România şi Republica Finlanda pentru evitarea dublei impuneri cu privire la impozitele pe venit ratificat prin Legea nr. 201 din 24 decembrie 1999 privind ratificarea Acordului dintre România şi Republica Finlanda pentru evitarea dublei impuneri cu privire la impozitele pe venit, semnat la Helsinki la 27 octombrie 1998</w:t>
            </w:r>
            <w:r>
              <w:rPr>
                <w:rFonts w:cs="Times New Roman" w:ascii="Times New Roman" w:hAnsi="Times New Roman"/>
                <w:bCs/>
                <w:sz w:val="24"/>
                <w:szCs w:val="24"/>
                <w:lang w:val="ro-RO"/>
              </w:rPr>
              <w:t xml:space="preserve"> - Art. 10 paragraf  1,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Convenţia dintre guvernul Republicii Socialiste România şi guvernul Republicii Franceze privind evitarea dublei impuneri pe venit şi avere ratificată prin  Decretul nr. 240 din 23 decembrie 1974 pentru ratificarea Convenţiei dintre guvernul Republicii Socialiste România şi guvernul Republicii Franceze privind evitarea dublei impuneri pe venit şi avere, semnată la Bucureşti la 27 septembrie 1974</w:t>
            </w:r>
            <w:r>
              <w:rPr>
                <w:rFonts w:cs="Times New Roman" w:ascii="Times New Roman" w:hAnsi="Times New Roman"/>
                <w:bCs/>
                <w:sz w:val="24"/>
                <w:szCs w:val="24"/>
                <w:lang w:val="ro-RO"/>
              </w:rPr>
              <w:t xml:space="preserve"> -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Georgiei pentru evitarea dublei impuneri şi prevenirea evaziunii fiscale cu privire la impozitele pe venit şi pe capital ratificată prin Legea nr. 45 din 26 martie 1999 privind ratificarea Convenţiei dintre Guvernul României şi Guvernul Georgiei pentru evitarea dublei impuneri şi prevenirea evaziunii fiscale cu privire la impozitele pe venit şi pe capital, semnată la Bucureşti la 11 decembrie 1997 </w:t>
            </w:r>
            <w:r>
              <w:rPr>
                <w:rFonts w:cs="Times New Roman" w:ascii="Times New Roman" w:hAnsi="Times New Roman"/>
                <w:bCs/>
                <w:sz w:val="24"/>
                <w:szCs w:val="24"/>
                <w:lang w:val="ro-RO"/>
              </w:rPr>
              <w:t xml:space="preserve">-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Republicii Elene pentru evitarea dublei impuneri cu privire la impozitele pe venit şi pe avere ratificată prin Legea nr. 25 din 12 martie 1992 privind ratificarea Convenţiei dintre Guvernul României şi Guvernul Republicii Elene pentru evitarea dublei impuneri cu privire la impozitele pe venit şi pe avere </w:t>
            </w:r>
            <w:r>
              <w:rPr>
                <w:rFonts w:cs="Times New Roman" w:ascii="Times New Roman" w:hAnsi="Times New Roman"/>
                <w:bCs/>
                <w:sz w:val="24"/>
                <w:szCs w:val="24"/>
                <w:lang w:val="ro-RO"/>
              </w:rPr>
              <w:t xml:space="preserve">-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România şi Regiunea Administrativă Specială Hong Kong a Republicii Populare Chineze pentru evitarea dublei impuneri şi prevenirea evaziunii fiscale cu privire la impozitele pe venit ratificat prin Legea nr. 204/2016 din 7 noiembrie 2016 privind ratificarea Acordului dintre România şi Regiunea Administrativă Specială Hong Kong a Republicii Populare Chineze pentru evitarea dublei impuneri şi prevenirea evaziunii fiscale cu privire la impozitele pe venit, semnat la Bucureşti la 18 noiembrie 2015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Acordul dintre România şi Republica India pentru evitarea dublei impuneri şi prevenirea evaziunii fiscale cu privire la impozitele pe venit ratificat prin Legea nr. 329 din  5 decembrie 2013 privind ratificarea Acordului dintre România şi Republica India pentru evitarea dublei impuneri şi prevenirea evaziunii fiscale cu privire la impozitele pe venit, semnat la New Delhi la 8 martie 2013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Acordul dintre Guvernul României şi Guvernul Republicii Indonezia pentru evitarea dublei impuneri şi prevenirea evaziunii fiscale cu privire la impozitele pe venit ratificat prin Legea nr. 50 din  2 martie 1998 privind ratificarea Acordului dintre Guvernul României şi Guvernul Republicii Indonezia pentru evitarea dublei impuneri şi prevenirea evaziunii fiscale cu privire la impozitele pe venit, semnat la Jakarta la 3 iulie 1996 </w:t>
            </w:r>
            <w:r>
              <w:rPr>
                <w:rFonts w:cs="Times New Roman" w:ascii="Times New Roman" w:hAnsi="Times New Roman"/>
                <w:bCs/>
                <w:sz w:val="24"/>
                <w:szCs w:val="24"/>
                <w:lang w:val="ro-RO"/>
              </w:rPr>
              <w:t xml:space="preserve">-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Acordul dintre România şi Republica Islamică Iran pentru evitarea dublei impuneri cu privire la impozitele pe venit şi pe capital ratificat prin Legea nr. 279 din 15 mai 2002 privind ratificarea Acordului dintre România şi Republica Islamică Iran pentru evitarea dublei impuneri cu privire la impozitele pe venit şi pe capital, semnat la Bucureşti la 3 octombrie 2001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Irlanda pentru evitarea dublei impuneri şi prevenirea evaziunii fiscale cu privire la impozitele pe venit şi pe câştigurile de capital ratificată prin Legea nr. 208 din 28 noiembrie 2000 privind ratificarea Convenţiei dintre România şi Irlanda pentru evitarea dublei impuneri şi prevenirea evaziunii fiscale cu privire la impozitele pe venit şi pe câştigurile de capital, semnată la Bucureşti la 21 octombrie 1999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Islanda pentru evitarea dublei impuneri şi prevenirea evaziunii fiscale cu privire la impozitele pe venit ratificată prin Legea nr. 139 din  4 iulie 2008 privind ratificarea Convenţiei dintre România şi Islanda pentru evitarea dublei impuneri şi prevenirea evaziunii fiscale cu privire la impozitele pe venit, semnată la Bucureşti la 19 septembrie 2007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Statului Israel pentru evitarea dublei impuneri şi prevenirea evaziunii fiscale cu privire la impozitele pe venit ratificată prin Legea nr. 39 din 14 februarie 1998 privind ratificarea Convenţiei dintre Guvernul României şi Guvernul Statului Israel pentru evitarea dublei impuneri şi prevenirea evaziunii fiscale cu privire la impozitele pe venit, semnată la Ierusalim la 15 iunie 1997 </w:t>
            </w:r>
            <w:r>
              <w:rPr>
                <w:rFonts w:cs="Times New Roman" w:ascii="Times New Roman" w:hAnsi="Times New Roman"/>
                <w:bCs/>
                <w:sz w:val="24"/>
                <w:szCs w:val="24"/>
                <w:lang w:val="ro-RO"/>
              </w:rPr>
              <w:t xml:space="preserve">- Art. 10 paragraf  2, art.11 paragraf  2 și paragraf 3,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bCs/>
                <w:sz w:val="24"/>
                <w:szCs w:val="24"/>
                <w:lang w:val="ro-RO"/>
              </w:rPr>
              <w:t xml:space="preserve">Convenția între Guvernul Republicii Socialiste România şi Guvernul Regatului Haşemit al Iordaniei pentru evitarea dublei impuneri şi prevenirea evaziunii fiscale cu privire la impozitele pe venit şi capital ratificată prin </w:t>
            </w:r>
            <w:r>
              <w:rPr>
                <w:rFonts w:cs="Times New Roman" w:ascii="Times New Roman" w:hAnsi="Times New Roman"/>
                <w:sz w:val="24"/>
                <w:szCs w:val="24"/>
                <w:lang w:val="ro-RO"/>
              </w:rPr>
              <w:t xml:space="preserve">Decretul nr. 215 din 26 iunie 1984 pentru ratificarea unor tratate internaţionale – </w:t>
            </w:r>
            <w:r>
              <w:rPr>
                <w:rFonts w:cs="Times New Roman" w:ascii="Times New Roman" w:hAnsi="Times New Roman"/>
                <w:bCs/>
                <w:sz w:val="24"/>
                <w:szCs w:val="24"/>
                <w:lang w:val="ro-RO"/>
              </w:rPr>
              <w:t xml:space="preserve">Convenție între Guvernul Republicii Socialiste România şi Guvernul Regatului Haşemit al Iordaniei pentru evitarea dublei impuneri şi prevenirea evaziunii fiscale cu privire la impozitele pe venit şi capital -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 xml:space="preserve">. </w:t>
            </w:r>
          </w:p>
          <w:p>
            <w:pPr>
              <w:pStyle w:val="Normal"/>
              <w:numPr>
                <w:ilvl w:val="0"/>
                <w:numId w:val="2"/>
              </w:numPr>
              <w:spacing w:lineRule="auto" w:line="276" w:before="120" w:after="0"/>
              <w:jc w:val="both"/>
              <w:rPr/>
            </w:pPr>
            <w:r>
              <w:rPr>
                <w:rFonts w:cs="Times New Roman" w:ascii="Times New Roman" w:hAnsi="Times New Roman"/>
                <w:sz w:val="24"/>
                <w:szCs w:val="24"/>
              </w:rPr>
              <w:t>Convenția dintre România și Republica Italiană pentru evitarea dublei impuneri cu privire la impozitele pe venit și prevenirea evaziunii fiscale și a Protocolului adițional la convenție</w:t>
            </w:r>
            <w:r>
              <w:rPr>
                <w:rFonts w:cs="Times New Roman" w:ascii="Times New Roman" w:hAnsi="Times New Roman"/>
                <w:b/>
                <w:bCs/>
                <w:sz w:val="24"/>
                <w:szCs w:val="24"/>
              </w:rPr>
              <w:t xml:space="preserve"> </w:t>
            </w:r>
            <w:r>
              <w:rPr>
                <w:rFonts w:cs="Times New Roman" w:ascii="Times New Roman" w:hAnsi="Times New Roman"/>
                <w:bCs/>
                <w:sz w:val="24"/>
                <w:szCs w:val="24"/>
              </w:rPr>
              <w:t>ratificată prin Legea nr. 28/2016 din 17 martie 2016</w:t>
            </w:r>
            <w:r>
              <w:rPr>
                <w:rFonts w:cs="Times New Roman" w:ascii="Times New Roman" w:hAnsi="Times New Roman"/>
                <w:b/>
                <w:bCs/>
                <w:sz w:val="24"/>
                <w:szCs w:val="24"/>
              </w:rPr>
              <w:t xml:space="preserve"> </w:t>
            </w:r>
            <w:r>
              <w:rPr>
                <w:rFonts w:cs="Times New Roman" w:ascii="Times New Roman" w:hAnsi="Times New Roman"/>
                <w:sz w:val="24"/>
                <w:szCs w:val="24"/>
              </w:rPr>
              <w:t xml:space="preserve">privind ratificarea Convenției dintre România și Republica Italiană pentru evitarea dublei impuneri cu privire la impozitele pe venit și prevenirea evaziunii fiscale și a Protocolului adițional la convenție, semnate la Riga la 25 aprilie 2015 </w:t>
            </w:r>
            <w:r>
              <w:rPr>
                <w:rFonts w:cs="Times New Roman" w:ascii="Times New Roman" w:hAnsi="Times New Roman"/>
                <w:bCs/>
                <w:sz w:val="24"/>
                <w:szCs w:val="24"/>
              </w:rPr>
              <w:t xml:space="preserve">- Art. 10 paragraf  2 coroborate cu pct. 3 din Protocolul adițional, art.11 paragraf  2 și art. 12 paragraf  2 coroborate cu pct. 4 din Protocolul additional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Letonia pentru evitarea dublei impuneri şi prevenirea evaziunii fiscale cu privire la impozitele pe venit şi pe capital ratificată prin Legea nr. 606 din  6 noiembrie 2002 privind ratificarea Convenţiei dintre România şi Republica Letonia pentru evitarea dublei impuneri şi prevenirea evaziunii fiscale cu privire la impozitele pe venit şi pe capital, semnată la Bucureşti la 25 martie 2002 </w:t>
            </w:r>
            <w:r>
              <w:rPr>
                <w:rFonts w:cs="Times New Roman" w:ascii="Times New Roman" w:hAnsi="Times New Roman"/>
                <w:bCs/>
                <w:sz w:val="24"/>
                <w:szCs w:val="24"/>
                <w:lang w:val="ro-RO"/>
              </w:rPr>
              <w:t xml:space="preserve">- 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Republicii Libaneze pentru evitarea dublei impuneri şi prevenirea evaziunii fiscale cu privire la impozitele pe venit şi pe capital ratificată prin Legea nr. 10 din 21 martie 1996 privind ratificarea Convenţiei dintre Guvernul României şi Guvernul Republicii Libaneze pentru evitarea dublei impuneri şi prevenirea evaziunii fiscale cu privire la impozitele pe venit şi pe capital, semnată la Beirut la 28 iunie 1995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Lituania pentru evitarea dublei impuneri şi prevenirea evaziunii fiscale cu privire la impozitele pe venit şi pe capital şi a Protocolului-anexă ratificată prin Legea nr. 278 din 15 mai 2002 privind ratificarea Convenţiei dintre România şi Republica Lituania pentru evitarea dublei impuneri şi prevenirea evaziunii fiscale cu privire la impozitele pe venit şi pe capital şi a Protocolului-anexă, semnate la Vilnius la 26 noiembrie 2001 - </w:t>
            </w:r>
            <w:r>
              <w:rPr>
                <w:rFonts w:cs="Times New Roman" w:ascii="Times New Roman" w:hAnsi="Times New Roman"/>
                <w:bCs/>
                <w:sz w:val="24"/>
                <w:szCs w:val="24"/>
                <w:lang w:val="ro-RO"/>
              </w:rPr>
              <w:t xml:space="preserve">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Marele Ducat de Luxemburg pentru evitarea dublei impuneri şi prevenirea evaziunii fiscale cu privire la impozitele pe venit şi avere ratificată prin Legea nr. 85 din 18 octombrie 1994 privind ratificarea Convenţiei dintre România şi Marele Ducat de Luxemburg pentru evitarea dublei impuneri şi prevenirea evaziunii fiscale cu privire la impozitele pe venit şi avere, semnată la Luxemburg la 14 decembrie 1993 - </w:t>
            </w:r>
            <w:r>
              <w:rPr>
                <w:rFonts w:cs="Times New Roman" w:ascii="Times New Roman" w:hAnsi="Times New Roman"/>
                <w:bCs/>
                <w:sz w:val="24"/>
                <w:szCs w:val="24"/>
                <w:lang w:val="ro-RO"/>
              </w:rPr>
              <w:t xml:space="preserve">Art. 10 paragraf  2, art.11 paragraf  2, art. 12 paragraf  2, art.13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Republica Socialistă România şi Japonia pentru evitarea dublei impuneri cu privire la impozitele pe venit ratificată prin Decretul nr. 213 din  5 iulie 1976 pentru ratificarea Convenţiei dintre Republica Socialistă România şi Japonia pentru evitarea dublei impuneri cu privire la impozitele pe venit, semnată la Tokio la 12 februarie 1976 </w:t>
            </w:r>
            <w:r>
              <w:rPr>
                <w:rFonts w:cs="Times New Roman" w:ascii="Times New Roman" w:hAnsi="Times New Roman"/>
                <w:bCs/>
                <w:sz w:val="24"/>
                <w:szCs w:val="24"/>
                <w:lang w:val="ro-RO"/>
              </w:rPr>
              <w:t xml:space="preserve">- Art. 10 paragraf  2, art.11 paragraf  2, art. 12 paragraf  2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bCs/>
                <w:sz w:val="24"/>
                <w:szCs w:val="24"/>
                <w:lang w:val="ro-RO"/>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Republicii Kazahstan pentru evitarea dublei impuneri şi prevenirea evaziunii fiscale cu privire la impozitele pe venit şi pe capital ratificată prin Legea nr. 11/2000 privind ratificarea Convenţiei dintre Guvernul României şi Guvernul Republicii Kazahstan pentru evitarea dublei impuneri şi prevenirea evaziunii fiscale cu privire la impozitele pe venit şi pe capital, semnată la Bucureşti la 21 septembrie 1998,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România şi Statul Kuwait pentru evitarea dublei impuneri cu privire la impozitele pe venit şi capital ratificat prin Legea nr. 5/1993 privind ratificarea Acordului dintre România şi Statul Kuwait pentru evitarea dublei impuneri cu privire la impozitele pe venit şi capital, semnat la Kuwait-City la 25 iulie 1992, art. 10 paragraf 1, art. 11 paragraf 1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Acordul î</w:t>
            </w:r>
            <w:r>
              <w:rPr>
                <w:rFonts w:cs="Times New Roman" w:ascii="Times New Roman" w:hAnsi="Times New Roman"/>
                <w:bCs/>
                <w:sz w:val="24"/>
                <w:szCs w:val="24"/>
                <w:lang w:val="ro-RO"/>
              </w:rPr>
              <w:t>ntre guvernul Republicii Socialiste România şi guvernul Malayeziei pentru evitarea dublei impuneri și prevenirea evaziunii fiscale cu privire la impozitele pe venit</w:t>
            </w:r>
            <w:r>
              <w:rPr>
                <w:rFonts w:cs="Times New Roman" w:ascii="Times New Roman" w:hAnsi="Times New Roman"/>
                <w:sz w:val="24"/>
                <w:szCs w:val="24"/>
                <w:lang w:val="ro-RO"/>
              </w:rPr>
              <w:t xml:space="preserve"> </w:t>
            </w:r>
            <w:r>
              <w:rPr>
                <w:rFonts w:cs="Times New Roman" w:ascii="Times New Roman" w:hAnsi="Times New Roman"/>
                <w:sz w:val="24"/>
                <w:szCs w:val="24"/>
              </w:rPr>
              <w:t xml:space="preserve">ratificat prin </w:t>
            </w:r>
            <w:r>
              <w:rPr>
                <w:rFonts w:cs="Times New Roman" w:ascii="Times New Roman" w:hAnsi="Times New Roman"/>
                <w:bCs/>
                <w:sz w:val="24"/>
                <w:szCs w:val="24"/>
                <w:lang w:val="ro-RO"/>
              </w:rPr>
              <w:t>Decret al Consiliului de Stat nr. 482 din 26 decembrie 1983</w:t>
            </w:r>
            <w:r>
              <w:rPr>
                <w:rFonts w:cs="Times New Roman" w:ascii="Times New Roman" w:hAnsi="Times New Roman"/>
                <w:sz w:val="24"/>
                <w:szCs w:val="24"/>
                <w:lang w:val="ro-RO"/>
              </w:rPr>
              <w:t xml:space="preserve"> </w:t>
            </w:r>
            <w:r>
              <w:rPr>
                <w:rFonts w:cs="Times New Roman" w:ascii="Times New Roman" w:hAnsi="Times New Roman"/>
                <w:bCs/>
                <w:sz w:val="24"/>
                <w:szCs w:val="24"/>
                <w:lang w:val="ro-RO"/>
              </w:rPr>
              <w:t>pentru ratificarea unor tratate internaţionale</w:t>
            </w:r>
            <w:r>
              <w:rPr>
                <w:rFonts w:cs="Times New Roman" w:ascii="Times New Roman" w:hAnsi="Times New Roman"/>
                <w:sz w:val="24"/>
                <w:szCs w:val="24"/>
              </w:rPr>
              <w:t xml:space="preserve">, semnat la Kuala Lumpur la 26 noiembrie 1982, art. 10 paragraf 2, art. 11 paragraf 2, art. 12 paragraf  2 și art. 22 coroborat cu pct. 2 din protocolul la acord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Guvernul României şi Guvernul Maltei pentru evitarea dublei impuneri şi prevenirea evaziunii fiscale cu privire la impozitele pe venit şi a protocolului anexat ratificat prin Legea nr. 61/1996 privind ratificarea Acordului dintre Guvernul României şi Guvernul Maltei pentru evitarea dublei impuneri şi prevenirea evaziunii fiscale cu privire la impozitele pe venit şi a protocolului anexat, semnate la Bucureşti la 30 noiembrie 1995,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 şi Guvernul macedonean pentru evitarea dublei impuneri şi prevenirea evaziunii fiscale cu privire la impozitele pe venit şi pe capital ratificată prin Legea nr. 306/2002 privind ratificarea Convenţiei dintre Guvernul român şi Guvernul macedonean pentru evitarea dublei impuneri şi prevenirea evaziunii fiscale cu privire la impozitele pe venit şi pe capital, semnată la Bucureşti la 12 iunie 2000,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Regatului Unit al Marii Britanii şi Irlandei de Nord pentru evitarea dublei impuneri cu privire la impozitele pe venit şi câştiguri în capital ratificată prin Decretul nr. 26/1976 pentru ratificarea Convenţiei dintre guvernul României şi guvernul Regatului Unit al Marii Britanii şi Irlandei de Nord pentru evitarea dublei impuneri cu privire la impozitele pe venit şi câştiguri în capital, semnată la Bucureşti la 18 septembrie 1975, art. 10 paragraf 1, art. 11 paragraf 2, art. 12 paragraf 2 și paragraf  3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Regatul Maroc pentru evitarea dublei impuneri şi prevenirea evaziunii fiscale cu privire la impozitele pe venit şi pe capital ratificată prin Legea nr. 5/2004 privind ratificarea Convenţiei dintre România şi Regatul Maroc pentru evitarea dublei impuneri şi prevenirea evaziunii fiscale cu privire la impozitele pe venit şi pe capital, semnată la Bucureşti la 2 iulie 2003,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Statele Unite Mexicane pentru evitarea dublei impuneri şi prevenirea evaziunii fiscale cu privire la impozitele pe venit şi pe capital ratificată prin Legea nr. 331/2001 privind ratificarea Convenţiei dintre România şi Statele Unite Mexicane pentru evitarea dublei impuneri şi prevenirea evaziunii fiscale cu privire la impozitele pe venit şi pe capital, semnată la Ciudad de Mexico la 20 iulie 2000,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Republicii Moldova pentru evitarea dublei impuneri şi prevenirea evaziunii fiscale cu privire la impozitele pe venit şi pe capital ratificată prin Legea nr. 60/1995 privind ratificarea Convenţiei dintre Guvernul României şi Guvernul Republicii Moldova pentru evitarea dublei impuneri şi prevenirea evaziunii fiscale cu privire la impozitele pe venit şi pe capital, semnată la Chişinău la 21 februarie 1995,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Republicii Namibia pentru evitarea dublei impuneri cu privire la impozitele pe venit şi pe capital ratificată prin Legea nr. 61/1999 pentru ratificarea Convenţiei dintre Guvernul României şi Guvernul Republicii Namibia pentru evitarea dublei impuneri cu privire la impozitele pe venit şi pe capital, semnată la Windhoek la 25 februarie 1998,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Guvernul României şi Guvernul Republicii Federale Nigeria privind evitarea dublei impuneri şi prevenirea evaziunii fiscale cu privire la impozitele pe venit şi pe câştiguri din capital ratificat prin Legea nr. 10/1993 pentru ratificarea Acordului dintre Guvernul României şi Guvernul Republicii Federale Nigeria privind evitarea dublei impuneri şi prevenirea evaziunii fiscale cu privire la impozitele pe venit şi pe câştiguri din capital, încheiat la Abuja 21 iulie 1992,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Regatul Norvegiei pentru evitarea dublei impuneri şi prevenirea evaziunii fiscale cu pjrivire la impozitele pe venit ratificată prin Legea nr. 27/2016 privind ratificarea Convenţiei dintre România şi Regatul Norvegiei pentru evitarea dublei impuneri şi prevenirea evaziunii fiscale cu pjrivire la impozitele pe venit, semnată la Oslo la 27 aprilie 2015, art. 10 paragraf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 xml:space="preserve">. </w:t>
            </w:r>
          </w:p>
          <w:p>
            <w:pPr>
              <w:pStyle w:val="Normal"/>
              <w:numPr>
                <w:ilvl w:val="0"/>
                <w:numId w:val="2"/>
              </w:numPr>
              <w:spacing w:lineRule="auto" w:line="276" w:before="120" w:after="0"/>
              <w:jc w:val="both"/>
              <w:rPr/>
            </w:pPr>
            <w:r>
              <w:rPr>
                <w:rFonts w:cs="Times New Roman" w:ascii="Times New Roman" w:hAnsi="Times New Roman"/>
                <w:sz w:val="24"/>
                <w:szCs w:val="24"/>
              </w:rPr>
              <w:t>Convenţia dintre România şi Regatul Olandei pentru evitarea dublei impuneri şi prevenirea evaziunii fiscale cu privire la impozitele pe venit şi pe capital şi a protocolului anexat ratificată prin Legea nr. 85/1999 privind ratificarea Convenţiei dintre România şi Regatul Olandei pentru evitarea dublei impuneri şi prevenirea evaziunii fiscale cu privire la impozitele pe venit şi pe capital şi a protocolului anexat, semnate la Haga la 5 martie 1998, art. 10 paragraf 2, art. 11 paragraf 2 coroborat cu punctul IX din protocolul la convenție, și art. 12 paragraf  2  coroborat cu punctul X din protocolul la convenție</w:t>
            </w:r>
            <w:r>
              <w:rPr>
                <w:rFonts w:cs="Times New Roman" w:ascii="Times New Roman" w:hAnsi="Times New Roman"/>
                <w:bCs/>
                <w:sz w:val="24"/>
                <w:szCs w:val="24"/>
                <w:lang w:val="ro-RO"/>
              </w:rPr>
              <w:t xml:space="preserve"> 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Republicii Islamice Pakistan pentru evitarea dublei impuneri şi prevenirea evaziunii fiscale cu privire la impozitele pe venit ratificată prin Legea nr. 212/2000 privind ratificarea Convenţiei dintre Guvernul României şi Guvernul Republicii Islamice Pakistan pentru evitarea dublei impuneri şi prevenirea evaziunii fiscale cu privire la impozitele pe venit, semnată la Bucureşti la 27 iulie 1999,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Acordul dintre Guvernul României şi Guvernul Republicii Polone pentru evitarea dublei impuneri şi prevenirea evaziunii fiscale cu privire la impozitele pe venit şi pe capital şi a protocolului anexat ratificat prin Legea nr. 6/ 1995 privind ratificarea Acordului dintre Guvernul României şi Guvernul Republicii Polone pentru evitarea dublei impuneri şi prevenirea evaziunii fiscale cu privire la impozitele pe venit şi pe capital şi a protocolului anexat, semnate la Varşovia la 23 iunie 1994, art. 10 paragraf 2, art. 11 paragraf 2, art. 12 paragraf  2 și art. 13 paragraf  2  coroborat cu protocolul anexă la convenție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Republica Portugheză pentru evitarea dublei impuneri şi prevenirea evaziunii fiscale cu privire la impozitele pe venit şi pe capital şi a Protocolului anexat ratificată prin Legea nr. 63/1999 privind ratificarea Convenţiei dintre România şi Republica Portugheză pentru evitarea dublei impuneri şi prevenirea evaziunii fiscale cu privire la impozitele pe venit şi pe capital şi a Protocolului anexat, semnate la Bucureşti la 16 septembrie 1997, art. 10 paragraf 2 și paragraf 3,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Statului Qatar pentru evitarea dublei impuneri şi prevenirea evaziunii fiscale cu privire la impozitele pe venit ratificată prin Legea nr. 84/2001 privind ratificarea Convenţiei dintre Guvernul României şi Guvernul Statului Qatar pentru evitarea dublei impuneri şi prevenirea evaziunii fiscale cu privire la impozitele pe venit, semnată la Doha la 24 octombrie 1999,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Republica Federală Germania pentru evitarea dublei impuneri cu privire la impozitele pe venit şi pe capital ratificată prin Legea nr. 29/2002 privind ratificarea Convenţiei dintre România şi Republica Federală Germania pentru evitarea dublei impuneri cu privire la impozitele pe venit şi pe capital, semnată la Berlin la 4 iulie 2001, art. 10 paragraf 2, art. 11 paragraf 2 coroborat cu paragraful 4, art. 12 paragraf 2 și pct. 2 din protocol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Guvernul României şi Guvernul Federal al Republicii Federale Iugoslavia pentru evitarea dublei impuneri cu privire la impozitele pe venit şi pe capital ratificată prin Legea nr. 122/1997 pentru ratificarea Convenţiei dintre Guvernul României şi Guvernul Federal al Republicii Federale Iugoslavia pentru evitarea dublei impuneri cu privire la impozitele pe venit şi pe capital, semnată la Belgrad la 16 mai 1996, art. 10 paragraf 2, art. 11 paragraf 2, art. 12 paragraf 2 și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rPr>
              <w:t xml:space="preserve">Convenţia dintre România şi Republica San Marino pentru evitarea dublei impuneri cu privire la impozitele pe venit şi pe capital şi a Protocolului la aceasta ratificată prin Legea nr. 384/2007 pentru ratificarea Convenţiei dintre România şi Republica San Marino pentru evitarea dublei impuneri cu privire la impozitele pe venit şi pe capital şi a Protocolului la aceasta, semnate la San Marino la 23 mai 2007, art. 10 alin, 2, art. 11 paragraf 2 și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r>
              <w:rPr>
                <w:rFonts w:cs="Times New Roman" w:ascii="Times New Roman" w:hAnsi="Times New Roman"/>
                <w:sz w:val="24"/>
                <w:szCs w:val="24"/>
              </w:rPr>
              <w:t>.</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Republicii Socialiste România şi guvernul Statelor Unite ale Americii privind evitarea dublei impuneri şi prevenirea evaziunii fiscale asupra veniturilor, semnată la Washington la 4 decembrie 1973, ratificată prin Decretul nr. 238/1974 pentru ratificarea Convenţiei dintre guvernul Republicii Socialiste România şi guvernul Statelor Unite ale Americii privind evitarea dublei impuneri şi prevenirea evaziunii fiscale asupra veniturilor, semnată la Washington la 4 decembrie 1973 – Art. 10 paragraf  1 și 2, Art. 11 paragraf  1 și 2, Art. 12 paragraf 1 și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Acordul dintre România şi Republica Singapore pentru evitarea dublei impuneri şi prevenirea evaziunii fiscale cu privire la impozitele pe venit şi pe capital şi Protocolul la acord, semnate la Singapore la 21 februarie 2002, ratificate prin Legea nr. 475/2002 privind ratificarea Acordului dintre România şi Republica Singapore pentru evitarea dublei impuneri şi prevenirea evaziunii fiscale cu privire la impozitele pe venit şi pe capital şi a Protocolului la acord, semnate la Singapore la 21 februarie 2002 -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Arabă Siriană pentru evitarea dublei impuneri şi prevenirea evaziunii fiscale cu privire la impozitele pe venit şi pe capital, semnată la Damasc la 24 iunie 2008, ratificată prin Legea nr. 106/2009 privind ratificarea Convenţiei dintre România şi Republica Arabă Siriană pentru evitarea dublei impuneri şi prevenirea evaziunii fiscale cu privire la impozitele pe venit şi pe capital, semnată la Damasc la 24 iunie 2008 – Art. 10 paragraf 2 ,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Republicii Slovace pentru evitarea dublei impuneri şi prevenirea evaziunii fiscale cu privire la impozitele pe venit şi pe capital, semnată la Bratislava la 3 martie 1994, ratificată prin Legea nr. 96/1994 privind ratificarea Convenţiei dintre Guvernul României şi Guvernul Republicii Slovace pentru evitarea dublei impuneri şi prevenirea evaziunii fiscale cu privire la impozitele pe venit şi pe capital, semnată la Bratislava la 3 martie 1994 -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Slovenia pentru evitarea dublei impuneri şi prevenirea evaziunii fiscale cu privire la impozitele pe venit şi pe capital, semnată la Bucureşti la 8 iulie 2002, ratificată prin Legea nr. 55/2003 privind ratificarea Convenţiei dintre România şi Republica Slovenia pentru evitarea dublei impuneri şi prevenirea evaziunii fiscale cu privire la impozitele pe venit şi pe capital, semnată la Bucureşti la 8 iulie 2002 -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Regatul Spaniei pentru eliminarea dublei impuneri cu privire la impozitele pe venit şi prevenirea evaziunii fiscale şi a evitării plăţii impozitelor şi protocolul la convenţie, semnate la Bucureşti la 18 octombrie 2017, ratificate prin Legea nr. 309/2018 privind ratificarea Convenţiei dintre România şi Regatul Spaniei pentru eliminarea dublei impuneri cu privire la impozitele pe venit şi prevenirea evaziunii fiscale şi a evitării plăţii impozitelor şi a protocolului la convenţie, semnate la Bucureşti la 18 octombrie 2017 - Art. 10 paragraf  2, Art. 11 paragraf  2, Art. 12 paragraf  2 și pct. II din Protocol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Republicii Socialiste România şi Guvernul Republicii Democratice Socialiste Sri Lanka pentru evitarea dublei impuneri şi prevenirea evaziunii fiscale cu privire la impozitele pe venit şi pe avere, semnată la Bucureşti la 19 octombrie 1984, ratificată prin Decretul nr. 149/1985 pentru ratificarea unor tratate internaţionale - Art. 10 paragraf  2, Art. 11 paragraf  2, Art. 12 paragraf  2,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Sudan pentru evitarea dublei impuneri şi prevenirea evaziunii fiscale cu privire la impozitele pe venit şi pe capital, semnată la Bucureşti la 31 mai 2007, ratificată prin Legea nr. 386/2007 privind ratificarea Convenţiei dintre România şi Republica Sudan pentru evitarea dublei impuneri şi prevenirea evaziunii fiscale cu privire la impozitele pe venit şi pe capital, semnată la Bucureşti la 31 mai 2007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Republica Socialistă România şi Regatul Suediei pentru evitarea dublei impuneri cu privire la impozitele pe venit şi avere şi Protocolul la aceasta Convenţie, încheiate la Stockholm la 22 decembrie 1976, ratificate prin Decretul nr.432/1978 pentru ratificarea unor tratate internaţionale - Art. 10 paragraf  2, Art. 11 paragraf  2, Art. 12 paragraf  2 coroborat cu Protocolul anexă la convenție,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Tadjikistan pentru evitarea dublei impuneri şi prevenirea evaziunii fiscale cu privire la impozitele pe venit şi pe capital, semnată la Duşanbe la 6 decembrie 2007, ratificată prin Legea nr. 16 2009 privind ratificarea Convenţiei dintre România şi Republica Tadjikistan pentru evitarea dublei impuneri şi prevenirea evaziunii fiscale cu privire la impozitele pe venit şi pe capital, semnată la Duşanbe la 6 decembrie 2007 – Art. 10 paragraf  2, art. 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Regatului Thailandei pentru evitarea dublei impuneri şi prevenirea evaziunii fiscale cu privire la impozitele pe venit, semnată la Bucureşti la 26 iunie 1996, ratificată prin Legea nr. 3/1997 privind ratificarea Convenţiei dintre Guvernul României şi Guvernul Regatului Thailandei pentru evitarea dublei impuneri şi prevenirea evaziunii fiscale cu privire la impozitele pe venit, semnată la Bucureşti la 26 iunie 1996 - Art. 10 paragraf  2, Art. 11 paragraf  2 , Art.12 paragraf  2,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Republicii Socialiste România şi Guvernul Republicii Tunisiene privind evitarea dublei impuneri asupra veniturilor şi averii, semnată la Tunis la 23 septembrie 1987, ratificată prin Decretul nr.326/1987 pentru ratificarea unor tratate internaţionale - Art. 10 paragraf  2, Art. 11 paragraf  2, Art.12 paragraf  2,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Acordul dintre Republica Socialistă România şi Republica Turcia pentru evitarea dublei impuneri cu privire la impozitele pe venit şi pe avere, semnat la Bucureşti la 1 iulie 1986, ratificat prin Decretul nr. 331/1986 pentru ratificarea unor tratate internaţionale - Art. 10 paragraf  2, Art. 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Turkmenistanului pentru evitarea dublei impuneri şi prevenirea evaziunii fiscale cu privire la impozitele pe venit şi pe capital, semnată la Bucureşti la 16 iulie 2008, ratificată prin Legea nr. 107/2009 privind ratificarea Convenţiei dintre Guvernul României şi Guvernul Turkmenistanului pentru evitarea dublei impuneri şi prevenirea evaziunii fiscale cu privire la impozitele pe venit şi pe capital, semnată la Bucureşti la 16 iulie 2008 - Art. 10 paragraf  2, Art. 11 paragraf  2, Art.12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României şi Guvernul Ucrainei pentru evitarea dublei impuneri şi prevenirea evaziunii fiscale cu privire la impozitele pe venit şi pe capital, semnată la Izmail la 29 martie 1996, ratificată prin Legea nr. 128/1996 privind ratificarea Convenţiei dintre Guvernul României şi Guvernul Ucrainei pentru evitarea dublei impuneri şi prevenirea evaziunii fiscale cu privire la impozitele pe venit şi pe capital, semnată la Izmail la 29 martie 1996 - Art. 10 paragraf  2 ,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Ungară pentru evitarea dublei impuneri şi prevenirea evaziunii fiscale cu privire la impozitele pe venit şi pe capital, semnată la Bucureşti la 16 septembrie 1993, ratificată prin Legea nr. 91/1994 privind ratificarea Convenţiei dintre România şi Republica Ungară pentru evitarea dublei impuneri şi prevenirea evaziunii fiscale cu privire la impozitele pe venit şi pe capital - Art. 10 paragraf  2, Art. 11 paragraf  2, Art. 12 paragraf  2, Art. 13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Orientală a Uruguayului pentru evitarea dublei impuneri şi prevenirea evaziunii fiscale cu privire la impozitele pe venit şi pe capital, semnată la Bucureşti la 14 septembrie 2012, ratificată prin Legea nr.276/2013 privind ratificarea Convenţiei dintre România şi Republica Orientală a Uruguayului pentru evitarea dublei impuneri şi prevenirea evaziunii fiscale cu privire la impozitele pe venit şi pe capital, semnată la Bucureşti la 14 septembrie 2012 -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România şi Republica Uzbekistan pentru evitarea dublei impuneri şi prevenirea evaziunii fiscale cu privire la impozitele pe venit şi pe capital, semnată la Bucureşti la 6 iunie 1996, ratificată prin Legea nr.26/1997 privind ratificarea Convenţiei dintre România şi Republica Uzbekistan pentru evitarea dublei impuneri şi prevenirea evaziunii fiscale cu privire la impozitele pe venit şi pe capital, semnată la Bucureşti la 6 iunie 1996 -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Acordul dintre Guvernul României şi Guvernul Republicii Socialiste Vietnam pentru evitarea dublei impuneri şi prevenirea evaziunii fiscale cu privire la impozitele pe venit şi pe capital, semnat la Hanoi la 8 iulie 1995, ratificat prin Legea nr.6/1996 privind ratificarea Acordului dintre Guvernul României şi Guvernul Republicii Socialiste Vietnam pentru evitarea dublei impuneri şi prevenirea evaziunii fiscale cu privire la impozitele pe venit şi pe capital, semnat la Hanoi la 8 iulie 1995 - Art. 10 paragraf  2, Art. 11 paragraf 2, Art. 12 paragraf  2</w:t>
            </w:r>
            <w:r>
              <w:rPr>
                <w:rFonts w:cs="Times New Roman" w:ascii="Times New Roman" w:hAnsi="Times New Roman"/>
                <w:bCs/>
                <w:sz w:val="24"/>
                <w:szCs w:val="24"/>
                <w:lang w:val="ro-RO"/>
              </w:rPr>
              <w:t xml:space="preserve"> și </w:t>
            </w:r>
            <w:r>
              <w:rPr>
                <w:rFonts w:cs="Times New Roman" w:ascii="Times New Roman" w:hAnsi="Times New Roman"/>
                <w:sz w:val="24"/>
                <w:szCs w:val="24"/>
                <w:lang w:val="ro-RO"/>
              </w:rPr>
              <w:t>Legea nr. 227/2015, cu modificările și completările ulterioare - art. 224 alin. 1 și alin. 5.</w:t>
            </w:r>
          </w:p>
          <w:p>
            <w:pPr>
              <w:pStyle w:val="Normal"/>
              <w:numPr>
                <w:ilvl w:val="0"/>
                <w:numId w:val="2"/>
              </w:numPr>
              <w:spacing w:lineRule="auto" w:line="276" w:before="120" w:after="0"/>
              <w:jc w:val="both"/>
              <w:rPr/>
            </w:pPr>
            <w:r>
              <w:rPr>
                <w:rFonts w:cs="Times New Roman" w:ascii="Times New Roman" w:hAnsi="Times New Roman"/>
                <w:sz w:val="24"/>
                <w:szCs w:val="24"/>
                <w:lang w:val="ro-RO"/>
              </w:rPr>
              <w:t xml:space="preserve">Convenţia dintre Guvernul Republicii Socialiste România şi Guvernul Republicii Zambia pentru evitarea dublei impuneri şi prevenirea evaziunii fiscale cu privire la impozitele pe venit şi avere, semnată la Lusaka la 21 iulie 1983, ratificată prin Decretul nr.215/1984 pentru ratificarea unor tratate internaţionale - Art. 10 paragraf  2, Art. 11 paragraf  2, Art. 12 paragraf  2 </w:t>
            </w:r>
            <w:r>
              <w:rPr>
                <w:rFonts w:cs="Times New Roman" w:ascii="Times New Roman" w:hAnsi="Times New Roman"/>
                <w:bCs/>
                <w:sz w:val="24"/>
                <w:szCs w:val="24"/>
                <w:lang w:val="ro-RO"/>
              </w:rPr>
              <w:t xml:space="preserve">și </w:t>
            </w:r>
            <w:r>
              <w:rPr>
                <w:rFonts w:cs="Times New Roman" w:ascii="Times New Roman" w:hAnsi="Times New Roman"/>
                <w:sz w:val="24"/>
                <w:szCs w:val="24"/>
                <w:lang w:val="ro-RO"/>
              </w:rPr>
              <w:t>Legea nr. 227/2015, cu modificările și completările ulterioare - art. 224 alin. 1 și alin. 5.</w:t>
            </w:r>
            <w:bookmarkStart w:id="4" w:name="_GoBack4"/>
            <w:bookmarkEnd w:id="4"/>
          </w:p>
        </w:tc>
        <w:tc>
          <w:tcPr>
            <w:tcW w:w="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160"/>
              <w:rPr/>
            </w:pPr>
            <w:r>
              <w:rPr/>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18.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Impozit datorat pe venitul din transferul proprietăților imobiliare din patrimoniul personal</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Legea nr. 227/2015, cu modificările și completările ulterioare, art. 111 alin. (6)</w:t>
            </w:r>
          </w:p>
        </w:tc>
      </w:tr>
      <w:tr>
        <w:trPr>
          <w:trHeight w:val="1268" w:hRule="atLeast"/>
        </w:trPr>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 xml:space="preserve">19. </w:t>
            </w:r>
          </w:p>
        </w:tc>
        <w:tc>
          <w:tcPr>
            <w:tcW w:w="33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Contribuția la Fondul pentru mediu</w:t>
            </w:r>
          </w:p>
        </w:tc>
        <w:tc>
          <w:tcPr>
            <w:tcW w:w="5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120" w:after="0"/>
              <w:jc w:val="both"/>
              <w:rPr/>
            </w:pPr>
            <w:r>
              <w:rPr>
                <w:rFonts w:cs="Times New Roman" w:ascii="Times New Roman" w:hAnsi="Times New Roman"/>
                <w:sz w:val="24"/>
                <w:szCs w:val="24"/>
                <w:lang w:val="ro-RO"/>
              </w:rPr>
              <w:t>Ordonanța de urgență a Guvernului nr. 196/2005 privind Fondul pentru mediu, aprobată cu modificări și completări prin Legea nr. 105/2006, cu modificările și completările ulterioare, art. 9 alin.(1) lit. a) și art. 11 alin.(1)</w:t>
            </w:r>
          </w:p>
        </w:tc>
      </w:tr>
    </w:tbl>
    <w:p>
      <w:pPr>
        <w:pStyle w:val="Normal"/>
        <w:spacing w:before="0" w:after="160"/>
        <w:rPr/>
      </w:pPr>
      <w:r>
        <w:rPr/>
      </w:r>
    </w:p>
    <w:sectPr>
      <w:footerReference w:type="default" r:id="rId18"/>
      <w:type w:val="nextPage"/>
      <w:pgSz w:w="12240" w:h="15840"/>
      <w:pgMar w:left="1440" w:right="900" w:header="0" w:top="1440" w:footer="561"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Helv">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14250244"/>
    </w:sdtPr>
    <w:sdtContent>
      <w:p>
        <w:pPr>
          <w:pStyle w:val="Footer"/>
          <w:jc w:val="right"/>
          <w:rPr/>
        </w:pPr>
        <w:r>
          <w:rPr/>
          <w:fldChar w:fldCharType="begin"/>
        </w:r>
        <w:r>
          <w:rPr/>
          <w:instrText> PAGE </w:instrText>
        </w:r>
        <w:r>
          <w:rPr/>
          <w:fldChar w:fldCharType="separate"/>
        </w:r>
        <w:r>
          <w:rPr/>
          <w:t>19</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029f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aln" w:customStyle="1">
    <w:name w:val="s_aln"/>
    <w:basedOn w:val="DefaultParagraphFont"/>
    <w:qFormat/>
    <w:rsid w:val="003a10da"/>
    <w:rPr/>
  </w:style>
  <w:style w:type="character" w:styleId="Salnttl" w:customStyle="1">
    <w:name w:val="s_aln_ttl"/>
    <w:basedOn w:val="DefaultParagraphFont"/>
    <w:qFormat/>
    <w:rsid w:val="003a10da"/>
    <w:rPr/>
  </w:style>
  <w:style w:type="character" w:styleId="Salnbdy" w:customStyle="1">
    <w:name w:val="s_aln_bdy"/>
    <w:basedOn w:val="DefaultParagraphFont"/>
    <w:qFormat/>
    <w:rsid w:val="003a10da"/>
    <w:rPr/>
  </w:style>
  <w:style w:type="character" w:styleId="Slit" w:customStyle="1">
    <w:name w:val="s_lit"/>
    <w:basedOn w:val="DefaultParagraphFont"/>
    <w:qFormat/>
    <w:rsid w:val="003a10da"/>
    <w:rPr/>
  </w:style>
  <w:style w:type="character" w:styleId="Slitttl" w:customStyle="1">
    <w:name w:val="s_lit_ttl"/>
    <w:basedOn w:val="DefaultParagraphFont"/>
    <w:qFormat/>
    <w:rsid w:val="003a10da"/>
    <w:rPr/>
  </w:style>
  <w:style w:type="character" w:styleId="Slitbdy" w:customStyle="1">
    <w:name w:val="s_lit_bdy"/>
    <w:basedOn w:val="DefaultParagraphFont"/>
    <w:qFormat/>
    <w:rsid w:val="003a10da"/>
    <w:rPr/>
  </w:style>
  <w:style w:type="character" w:styleId="InternetLink">
    <w:name w:val="Internet Link"/>
    <w:basedOn w:val="DefaultParagraphFont"/>
    <w:uiPriority w:val="99"/>
    <w:unhideWhenUsed/>
    <w:rsid w:val="003a10da"/>
    <w:rPr>
      <w:color w:val="0000FF"/>
      <w:u w:val="single"/>
    </w:rPr>
  </w:style>
  <w:style w:type="character" w:styleId="Slgi" w:customStyle="1">
    <w:name w:val="s_lgi"/>
    <w:basedOn w:val="DefaultParagraphFont"/>
    <w:qFormat/>
    <w:rsid w:val="003a10da"/>
    <w:rPr/>
  </w:style>
  <w:style w:type="character" w:styleId="Tagcollapsed" w:customStyle="1">
    <w:name w:val="tag_collapsed"/>
    <w:basedOn w:val="DefaultParagraphFont"/>
    <w:qFormat/>
    <w:rsid w:val="003a10da"/>
    <w:rPr/>
  </w:style>
  <w:style w:type="character" w:styleId="Sartttl" w:customStyle="1">
    <w:name w:val="s_art_ttl"/>
    <w:basedOn w:val="DefaultParagraphFont"/>
    <w:qFormat/>
    <w:rsid w:val="003a10da"/>
    <w:rPr/>
  </w:style>
  <w:style w:type="character" w:styleId="Spar" w:customStyle="1">
    <w:name w:val="s_par"/>
    <w:basedOn w:val="DefaultParagraphFont"/>
    <w:qFormat/>
    <w:rsid w:val="003a10da"/>
    <w:rPr/>
  </w:style>
  <w:style w:type="character" w:styleId="BalloonTextChar" w:customStyle="1">
    <w:name w:val="Balloon Text Char"/>
    <w:basedOn w:val="DefaultParagraphFont"/>
    <w:link w:val="BalloonText"/>
    <w:uiPriority w:val="99"/>
    <w:semiHidden/>
    <w:qFormat/>
    <w:rsid w:val="008155bc"/>
    <w:rPr>
      <w:rFonts w:ascii="Segoe UI" w:hAnsi="Segoe UI" w:cs="Segoe UI"/>
      <w:sz w:val="18"/>
      <w:szCs w:val="18"/>
    </w:rPr>
  </w:style>
  <w:style w:type="character" w:styleId="Annotationreference">
    <w:name w:val="annotation reference"/>
    <w:basedOn w:val="DefaultParagraphFont"/>
    <w:uiPriority w:val="99"/>
    <w:semiHidden/>
    <w:unhideWhenUsed/>
    <w:qFormat/>
    <w:rsid w:val="008155bc"/>
    <w:rPr>
      <w:sz w:val="16"/>
      <w:szCs w:val="16"/>
    </w:rPr>
  </w:style>
  <w:style w:type="character" w:styleId="CommentTextChar" w:customStyle="1">
    <w:name w:val="Comment Text Char"/>
    <w:basedOn w:val="DefaultParagraphFont"/>
    <w:link w:val="CommentText"/>
    <w:uiPriority w:val="99"/>
    <w:semiHidden/>
    <w:qFormat/>
    <w:rsid w:val="008155bc"/>
    <w:rPr>
      <w:sz w:val="20"/>
      <w:szCs w:val="20"/>
    </w:rPr>
  </w:style>
  <w:style w:type="character" w:styleId="CommentSubjectChar" w:customStyle="1">
    <w:name w:val="Comment Subject Char"/>
    <w:basedOn w:val="CommentTextChar"/>
    <w:link w:val="CommentSubject"/>
    <w:uiPriority w:val="99"/>
    <w:semiHidden/>
    <w:qFormat/>
    <w:rsid w:val="008155bc"/>
    <w:rPr>
      <w:b/>
      <w:bCs/>
      <w:sz w:val="20"/>
      <w:szCs w:val="20"/>
    </w:rPr>
  </w:style>
  <w:style w:type="character" w:styleId="Style14" w:customStyle="1">
    <w:name w:val="_"/>
    <w:basedOn w:val="DefaultParagraphFont"/>
    <w:qFormat/>
    <w:rsid w:val="00c71e9a"/>
    <w:rPr/>
  </w:style>
  <w:style w:type="character" w:styleId="Pg4fc2" w:customStyle="1">
    <w:name w:val="pg-4fc2"/>
    <w:basedOn w:val="DefaultParagraphFont"/>
    <w:qFormat/>
    <w:rsid w:val="00c71e9a"/>
    <w:rPr/>
  </w:style>
  <w:style w:type="character" w:styleId="HeaderChar" w:customStyle="1">
    <w:name w:val="Header Char"/>
    <w:basedOn w:val="DefaultParagraphFont"/>
    <w:link w:val="Header"/>
    <w:uiPriority w:val="99"/>
    <w:qFormat/>
    <w:rsid w:val="00072922"/>
    <w:rPr/>
  </w:style>
  <w:style w:type="character" w:styleId="FooterChar" w:customStyle="1">
    <w:name w:val="Footer Char"/>
    <w:basedOn w:val="DefaultParagraphFont"/>
    <w:link w:val="Footer"/>
    <w:uiPriority w:val="99"/>
    <w:qFormat/>
    <w:rsid w:val="00072922"/>
    <w:rPr/>
  </w:style>
  <w:style w:type="character" w:styleId="ListLabel1">
    <w:name w:val="ListLabel 1"/>
    <w:qFormat/>
    <w:rPr>
      <w:u w:val="single"/>
    </w:rPr>
  </w:style>
  <w:style w:type="character" w:styleId="ListLabel2">
    <w:name w:val="ListLabel 2"/>
    <w:qFormat/>
    <w:rPr>
      <w:b/>
    </w:rPr>
  </w:style>
  <w:style w:type="character" w:styleId="ListLabel3">
    <w:name w:val="ListLabel 3"/>
    <w:qFormat/>
    <w:rPr>
      <w:rFonts w:ascii="Arial" w:hAnsi="Arial" w:cs="Arial"/>
      <w:color w:val="auto"/>
      <w:sz w:val="26"/>
      <w:szCs w:val="26"/>
      <w:shd w:fill="FFFFFF" w:val="clear"/>
      <w:lang w:val="ro-RO"/>
    </w:rPr>
  </w:style>
  <w:style w:type="character" w:styleId="ListLabel4">
    <w:name w:val="ListLabel 4"/>
    <w:qFormat/>
    <w:rPr>
      <w:rFonts w:ascii="Arial" w:hAnsi="Arial" w:cs="Arial"/>
      <w:iCs/>
      <w:color w:val="auto"/>
      <w:sz w:val="26"/>
      <w:szCs w:val="26"/>
      <w:shd w:fill="FFFFFF" w:val="clear"/>
      <w:lang w:val="ro-RO"/>
    </w:rPr>
  </w:style>
  <w:style w:type="character" w:styleId="ListLabel5">
    <w:name w:val="ListLabel 5"/>
    <w:qFormat/>
    <w:rPr>
      <w:rFonts w:ascii="Arial" w:hAnsi="Arial" w:cs="Arial"/>
      <w:color w:val="auto"/>
      <w:sz w:val="26"/>
      <w:szCs w:val="26"/>
      <w:highlight w:val="white"/>
      <w:u w:val="none"/>
      <w:lang w:val="ro-RO"/>
    </w:rPr>
  </w:style>
  <w:style w:type="character" w:styleId="ListLabel6">
    <w:name w:val="ListLabel 6"/>
    <w:qFormat/>
    <w:rPr>
      <w:rFonts w:ascii="Arial" w:hAnsi="Arial" w:cs="Arial"/>
      <w:iCs/>
      <w:color w:val="auto"/>
      <w:sz w:val="26"/>
      <w:szCs w:val="26"/>
      <w:highlight w:val="white"/>
      <w:u w:val="none"/>
      <w:lang w:val="ro-RO"/>
    </w:rPr>
  </w:style>
  <w:style w:type="character" w:styleId="ListLabel7">
    <w:name w:val="ListLabel 7"/>
    <w:qFormat/>
    <w:rPr>
      <w:rFonts w:ascii="Arial" w:hAnsi="Arial" w:cs="Arial"/>
      <w:color w:val="auto"/>
      <w:sz w:val="26"/>
      <w:szCs w:val="26"/>
      <w:highlight w:val="white"/>
      <w:u w:val="none"/>
      <w:lang w:val="ro-RO"/>
    </w:rPr>
  </w:style>
  <w:style w:type="character" w:styleId="ListLabel8">
    <w:name w:val="ListLabel 8"/>
    <w:qFormat/>
    <w:rPr>
      <w:rFonts w:ascii="Arial" w:hAnsi="Arial" w:cs="Arial"/>
      <w:iCs/>
      <w:color w:val="auto"/>
      <w:sz w:val="26"/>
      <w:szCs w:val="26"/>
      <w:highlight w:val="white"/>
      <w:u w:val="none"/>
      <w:lang w:val="ro-RO"/>
    </w:rPr>
  </w:style>
  <w:style w:type="character" w:styleId="ListLabel9">
    <w:name w:val="ListLabel 9"/>
    <w:qFormat/>
    <w:rPr>
      <w:rFonts w:ascii="Arial" w:hAnsi="Arial" w:cs="Arial"/>
      <w:color w:val="auto"/>
      <w:sz w:val="26"/>
      <w:szCs w:val="26"/>
      <w:highlight w:val="white"/>
      <w:u w:val="none"/>
      <w:lang w:val="ro-RO"/>
    </w:rPr>
  </w:style>
  <w:style w:type="character" w:styleId="ListLabel10">
    <w:name w:val="ListLabel 10"/>
    <w:qFormat/>
    <w:rPr>
      <w:rFonts w:ascii="Arial" w:hAnsi="Arial" w:cs="Arial"/>
      <w:iCs/>
      <w:color w:val="auto"/>
      <w:sz w:val="26"/>
      <w:szCs w:val="26"/>
      <w:highlight w:val="white"/>
      <w:u w:val="none"/>
      <w:lang w:val="ro-RO"/>
    </w:rPr>
  </w:style>
  <w:style w:type="character" w:styleId="ListLabel11">
    <w:name w:val="ListLabel 11"/>
    <w:qFormat/>
    <w:rPr>
      <w:rFonts w:ascii="Arial" w:hAnsi="Arial" w:cs="Arial"/>
      <w:color w:val="auto"/>
      <w:sz w:val="26"/>
      <w:szCs w:val="26"/>
      <w:highlight w:val="white"/>
      <w:u w:val="none"/>
      <w:lang w:val="ro-RO"/>
    </w:rPr>
  </w:style>
  <w:style w:type="character" w:styleId="ListLabel12">
    <w:name w:val="ListLabel 12"/>
    <w:qFormat/>
    <w:rPr>
      <w:rFonts w:ascii="Arial" w:hAnsi="Arial" w:cs="Arial"/>
      <w:iCs/>
      <w:color w:val="auto"/>
      <w:sz w:val="26"/>
      <w:szCs w:val="26"/>
      <w:highlight w:val="white"/>
      <w:u w:val="none"/>
      <w:lang w:val="ro-RO"/>
    </w:rPr>
  </w:style>
  <w:style w:type="character" w:styleId="ListLabel13">
    <w:name w:val="ListLabel 13"/>
    <w:qFormat/>
    <w:rPr>
      <w:rFonts w:ascii="Arial" w:hAnsi="Arial" w:cs="Arial"/>
      <w:color w:val="auto"/>
      <w:sz w:val="26"/>
      <w:szCs w:val="26"/>
      <w:highlight w:val="white"/>
      <w:u w:val="none"/>
      <w:lang w:val="ro-RO"/>
    </w:rPr>
  </w:style>
  <w:style w:type="character" w:styleId="ListLabel14">
    <w:name w:val="ListLabel 14"/>
    <w:qFormat/>
    <w:rPr>
      <w:rFonts w:ascii="Arial" w:hAnsi="Arial" w:cs="Arial"/>
      <w:iCs/>
      <w:color w:val="auto"/>
      <w:sz w:val="26"/>
      <w:szCs w:val="26"/>
      <w:highlight w:val="white"/>
      <w:u w:val="none"/>
      <w:lang w:val="ro-RO"/>
    </w:rPr>
  </w:style>
  <w:style w:type="character" w:styleId="ListLabel15">
    <w:name w:val="ListLabel 15"/>
    <w:qFormat/>
    <w:rPr>
      <w:rFonts w:ascii="Arial" w:hAnsi="Arial" w:cs="Arial"/>
      <w:color w:val="auto"/>
      <w:sz w:val="26"/>
      <w:szCs w:val="26"/>
      <w:highlight w:val="white"/>
      <w:u w:val="none"/>
      <w:lang w:val="ro-RO"/>
    </w:rPr>
  </w:style>
  <w:style w:type="character" w:styleId="ListLabel16">
    <w:name w:val="ListLabel 16"/>
    <w:qFormat/>
    <w:rPr>
      <w:rFonts w:ascii="Arial" w:hAnsi="Arial" w:cs="Arial"/>
      <w:iCs/>
      <w:color w:val="auto"/>
      <w:sz w:val="26"/>
      <w:szCs w:val="26"/>
      <w:highlight w:val="white"/>
      <w:u w:val="none"/>
      <w:lang w:val="ro-RO"/>
    </w:rPr>
  </w:style>
  <w:style w:type="character" w:styleId="ListLabel17">
    <w:name w:val="ListLabel 17"/>
    <w:qFormat/>
    <w:rPr>
      <w:rFonts w:ascii="Arial" w:hAnsi="Arial" w:cs="Arial"/>
      <w:color w:val="auto"/>
      <w:sz w:val="26"/>
      <w:szCs w:val="26"/>
      <w:highlight w:val="white"/>
      <w:u w:val="none"/>
      <w:lang w:val="ro-RO"/>
    </w:rPr>
  </w:style>
  <w:style w:type="character" w:styleId="ListLabel18">
    <w:name w:val="ListLabel 18"/>
    <w:qFormat/>
    <w:rPr>
      <w:rFonts w:ascii="Arial" w:hAnsi="Arial" w:cs="Arial"/>
      <w:iCs/>
      <w:color w:val="auto"/>
      <w:sz w:val="26"/>
      <w:szCs w:val="26"/>
      <w:highlight w:val="white"/>
      <w:u w:val="none"/>
      <w:lang w:val="ro-RO"/>
    </w:rPr>
  </w:style>
  <w:style w:type="character" w:styleId="ListLabel19">
    <w:name w:val="ListLabel 19"/>
    <w:qFormat/>
    <w:rPr>
      <w:rFonts w:ascii="Arial" w:hAnsi="Arial" w:cs="Arial"/>
      <w:color w:val="auto"/>
      <w:sz w:val="26"/>
      <w:szCs w:val="26"/>
      <w:highlight w:val="white"/>
      <w:u w:val="none"/>
      <w:lang w:val="ro-RO"/>
    </w:rPr>
  </w:style>
  <w:style w:type="character" w:styleId="ListLabel20">
    <w:name w:val="ListLabel 20"/>
    <w:qFormat/>
    <w:rPr>
      <w:rFonts w:ascii="Arial" w:hAnsi="Arial" w:cs="Arial"/>
      <w:iCs/>
      <w:color w:val="auto"/>
      <w:sz w:val="26"/>
      <w:szCs w:val="26"/>
      <w:highlight w:val="white"/>
      <w:u w:val="none"/>
      <w:lang w:val="ro-RO"/>
    </w:rPr>
  </w:style>
  <w:style w:type="character" w:styleId="ListLabel21">
    <w:name w:val="ListLabel 21"/>
    <w:qFormat/>
    <w:rPr>
      <w:rFonts w:ascii="Arial" w:hAnsi="Arial" w:cs="Arial"/>
      <w:color w:val="auto"/>
      <w:sz w:val="26"/>
      <w:szCs w:val="26"/>
      <w:highlight w:val="white"/>
      <w:u w:val="none"/>
      <w:lang w:val="ro-RO"/>
    </w:rPr>
  </w:style>
  <w:style w:type="character" w:styleId="ListLabel22">
    <w:name w:val="ListLabel 22"/>
    <w:qFormat/>
    <w:rPr>
      <w:rFonts w:ascii="Arial" w:hAnsi="Arial" w:cs="Arial"/>
      <w:iCs/>
      <w:color w:val="auto"/>
      <w:sz w:val="26"/>
      <w:szCs w:val="26"/>
      <w:highlight w:val="white"/>
      <w:u w:val="none"/>
      <w:lang w:val="ro-RO"/>
    </w:rPr>
  </w:style>
  <w:style w:type="character" w:styleId="ListLabel23">
    <w:name w:val="ListLabel 23"/>
    <w:qFormat/>
    <w:rPr>
      <w:rFonts w:ascii="Arial" w:hAnsi="Arial" w:cs="Arial"/>
      <w:color w:val="auto"/>
      <w:sz w:val="26"/>
      <w:szCs w:val="26"/>
      <w:highlight w:val="white"/>
      <w:u w:val="none"/>
      <w:lang w:val="ro-RO"/>
    </w:rPr>
  </w:style>
  <w:style w:type="character" w:styleId="ListLabel24">
    <w:name w:val="ListLabel 24"/>
    <w:qFormat/>
    <w:rPr>
      <w:rFonts w:ascii="Arial" w:hAnsi="Arial" w:cs="Arial"/>
      <w:iCs/>
      <w:color w:val="auto"/>
      <w:sz w:val="26"/>
      <w:szCs w:val="26"/>
      <w:highlight w:val="white"/>
      <w:u w:val="none"/>
      <w:lang w:val="ro-RO"/>
    </w:rPr>
  </w:style>
  <w:style w:type="character" w:styleId="ListLabel25">
    <w:name w:val="ListLabel 25"/>
    <w:qFormat/>
    <w:rPr>
      <w:rFonts w:ascii="Arial" w:hAnsi="Arial" w:cs="Arial"/>
      <w:color w:val="auto"/>
      <w:sz w:val="26"/>
      <w:szCs w:val="26"/>
      <w:highlight w:val="white"/>
      <w:u w:val="none"/>
      <w:lang w:val="ro-RO"/>
    </w:rPr>
  </w:style>
  <w:style w:type="character" w:styleId="ListLabel26">
    <w:name w:val="ListLabel 26"/>
    <w:qFormat/>
    <w:rPr>
      <w:rFonts w:ascii="Arial" w:hAnsi="Arial" w:cs="Arial"/>
      <w:iCs/>
      <w:color w:val="auto"/>
      <w:sz w:val="26"/>
      <w:szCs w:val="26"/>
      <w:highlight w:val="white"/>
      <w:u w:val="none"/>
      <w:lang w:val="ro-RO"/>
    </w:rPr>
  </w:style>
  <w:style w:type="character" w:styleId="ListLabel27">
    <w:name w:val="ListLabel 27"/>
    <w:qFormat/>
    <w:rPr>
      <w:rFonts w:ascii="Arial" w:hAnsi="Arial" w:cs="Arial"/>
      <w:color w:val="auto"/>
      <w:sz w:val="26"/>
      <w:szCs w:val="26"/>
      <w:highlight w:val="white"/>
      <w:u w:val="none"/>
      <w:lang w:val="ro-RO"/>
    </w:rPr>
  </w:style>
  <w:style w:type="character" w:styleId="ListLabel28">
    <w:name w:val="ListLabel 28"/>
    <w:qFormat/>
    <w:rPr>
      <w:rFonts w:ascii="Arial" w:hAnsi="Arial" w:cs="Arial"/>
      <w:iCs/>
      <w:color w:val="auto"/>
      <w:sz w:val="26"/>
      <w:szCs w:val="26"/>
      <w:highlight w:val="white"/>
      <w:u w:val="none"/>
      <w:lang w:val="ro-RO"/>
    </w:rPr>
  </w:style>
  <w:style w:type="character" w:styleId="ListLabel29">
    <w:name w:val="ListLabel 29"/>
    <w:qFormat/>
    <w:rPr>
      <w:rFonts w:ascii="Arial" w:hAnsi="Arial" w:cs="Arial"/>
      <w:color w:val="auto"/>
      <w:sz w:val="26"/>
      <w:szCs w:val="26"/>
      <w:highlight w:val="white"/>
      <w:u w:val="none"/>
      <w:lang w:val="ro-RO"/>
    </w:rPr>
  </w:style>
  <w:style w:type="character" w:styleId="ListLabel30">
    <w:name w:val="ListLabel 30"/>
    <w:qFormat/>
    <w:rPr>
      <w:rFonts w:ascii="Arial" w:hAnsi="Arial" w:cs="Arial"/>
      <w:iCs/>
      <w:color w:val="auto"/>
      <w:sz w:val="26"/>
      <w:szCs w:val="26"/>
      <w:highlight w:val="white"/>
      <w:u w:val="none"/>
      <w:lang w:val="ro-RO"/>
    </w:rPr>
  </w:style>
  <w:style w:type="character" w:styleId="ListLabel31">
    <w:name w:val="ListLabel 31"/>
    <w:qFormat/>
    <w:rPr>
      <w:rFonts w:ascii="Arial" w:hAnsi="Arial" w:cs="Arial"/>
      <w:color w:val="auto"/>
      <w:sz w:val="26"/>
      <w:szCs w:val="26"/>
      <w:highlight w:val="white"/>
      <w:u w:val="none"/>
      <w:lang w:val="ro-RO"/>
    </w:rPr>
  </w:style>
  <w:style w:type="character" w:styleId="ListLabel32">
    <w:name w:val="ListLabel 32"/>
    <w:qFormat/>
    <w:rPr>
      <w:rFonts w:ascii="Arial" w:hAnsi="Arial" w:cs="Arial"/>
      <w:iCs/>
      <w:color w:val="auto"/>
      <w:sz w:val="26"/>
      <w:szCs w:val="26"/>
      <w:highlight w:val="white"/>
      <w:u w:val="none"/>
      <w:lang w:val="ro-RO"/>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a10da"/>
    <w:pPr>
      <w:spacing w:before="0" w:after="160"/>
      <w:ind w:left="720" w:hanging="0"/>
      <w:contextualSpacing/>
    </w:pPr>
    <w:rPr/>
  </w:style>
  <w:style w:type="paragraph" w:styleId="BalloonText">
    <w:name w:val="Balloon Text"/>
    <w:basedOn w:val="Normal"/>
    <w:link w:val="BalloonTextChar"/>
    <w:uiPriority w:val="99"/>
    <w:semiHidden/>
    <w:unhideWhenUsed/>
    <w:qFormat/>
    <w:rsid w:val="008155bc"/>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8155bc"/>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8155bc"/>
    <w:pPr/>
    <w:rPr>
      <w:b/>
      <w:bCs/>
    </w:rPr>
  </w:style>
  <w:style w:type="paragraph" w:styleId="Header">
    <w:name w:val="Header"/>
    <w:basedOn w:val="Normal"/>
    <w:link w:val="HeaderChar"/>
    <w:uiPriority w:val="99"/>
    <w:unhideWhenUsed/>
    <w:rsid w:val="0007292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072922"/>
    <w:pPr>
      <w:tabs>
        <w:tab w:val="clear" w:pos="720"/>
        <w:tab w:val="center" w:pos="4513" w:leader="none"/>
        <w:tab w:val="right" w:pos="9026" w:leader="none"/>
      </w:tabs>
      <w:spacing w:lineRule="auto" w:line="240" w:before="0" w:after="0"/>
    </w:pPr>
    <w:rPr/>
  </w:style>
  <w:style w:type="paragraph" w:styleId="Revision">
    <w:name w:val="Revision"/>
    <w:uiPriority w:val="99"/>
    <w:semiHidden/>
    <w:qFormat/>
    <w:rsid w:val="009a157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egislatie.just.ro/Public/DetaliiDocumentAfis/171322" TargetMode="External"/><Relationship Id="rId3" Type="http://schemas.openxmlformats.org/officeDocument/2006/relationships/hyperlink" Target="http://legislatie.just.ro/Public/DetaliiDocumentAfis/188802" TargetMode="External"/><Relationship Id="rId4" Type="http://schemas.openxmlformats.org/officeDocument/2006/relationships/hyperlink" Target="http://legislatie.just.ro/Public/DetaliiDocumentAfis/188803" TargetMode="External"/><Relationship Id="rId5" Type="http://schemas.openxmlformats.org/officeDocument/2006/relationships/hyperlink" Target="http://legislatie.just.ro/Public/DetaliiDocumentAfis/188804" TargetMode="External"/><Relationship Id="rId6" Type="http://schemas.openxmlformats.org/officeDocument/2006/relationships/hyperlink" Target="http://legislatie.just.ro/Public/DetaliiDocumentAfis/205545" TargetMode="External"/><Relationship Id="rId7" Type="http://schemas.openxmlformats.org/officeDocument/2006/relationships/hyperlink" Target="http://legislatie.just.ro/Public/DetaliiDocumentAfis/184016" TargetMode="External"/><Relationship Id="rId8" Type="http://schemas.openxmlformats.org/officeDocument/2006/relationships/hyperlink" Target="http://legislatie.just.ro/Public/DetaliiDocumentAfis/172910" TargetMode="External"/><Relationship Id="rId9" Type="http://schemas.openxmlformats.org/officeDocument/2006/relationships/hyperlink" Target="http://legislatie.just.ro/Public/DetaliiDocumentAfis/156440" TargetMode="External"/><Relationship Id="rId10" Type="http://schemas.openxmlformats.org/officeDocument/2006/relationships/hyperlink" Target="http://legislatie.just.ro/Public/DetaliiDocumentAfis/141601" TargetMode="External"/><Relationship Id="rId11" Type="http://schemas.openxmlformats.org/officeDocument/2006/relationships/hyperlink" Target="http://legislatie.just.ro/Public/DetaliiDocumentAfis/167319" TargetMode="External"/><Relationship Id="rId12" Type="http://schemas.openxmlformats.org/officeDocument/2006/relationships/hyperlink" Target="http://legislatie.just.ro/Public/DetaliiDocumentAfis/167319" TargetMode="External"/><Relationship Id="rId13" Type="http://schemas.openxmlformats.org/officeDocument/2006/relationships/hyperlink" Target="http://legislatie.just.ro/Public/DetaliiDocumentAfis/184785" TargetMode="External"/><Relationship Id="rId14" Type="http://schemas.openxmlformats.org/officeDocument/2006/relationships/hyperlink" Target="http://legislatie.just.ro/Public/DetaliiDocumentAfis/190552" TargetMode="External"/><Relationship Id="rId15" Type="http://schemas.openxmlformats.org/officeDocument/2006/relationships/hyperlink" Target="http://legislatie.just.ro/Public/DetaliiDocumentAfis/190552" TargetMode="External"/><Relationship Id="rId16" Type="http://schemas.openxmlformats.org/officeDocument/2006/relationships/hyperlink" Target="http://legislatie.just.ro/Public/DetaliiDocumentAfis/185897" TargetMode="External"/><Relationship Id="rId17" Type="http://schemas.openxmlformats.org/officeDocument/2006/relationships/hyperlink" Target="http://legislatie.just.ro/Public/DetaliiDocumentAfis/135928"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EFC3-5040-4C6C-9BB6-34FFCB669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Application>LibreOffice/6.1.5.2$Windows_X86_64 LibreOffice_project/90f8dcf33c87b3705e78202e3df5142b201bd805</Application>
  <Pages>74</Pages>
  <Words>23429</Words>
  <Characters>132760</Characters>
  <CharactersWithSpaces>156170</CharactersWithSpaces>
  <Paragraphs>534</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2021-12-15T21:46:00Z</dcterms:created>
  <dc:creator>DANIELA GAVRIL</dc:creator>
  <dc:description/>
  <dc:language>ro-RO</dc:language>
  <cp:lastModifiedBy/>
  <cp:lastPrinted>2021-12-17T01:11:50Z</cp:lastPrinted>
  <dcterms:modified xsi:type="dcterms:W3CDTF">2021-12-17T01:50:13Z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