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84C9" w14:textId="77777777" w:rsidR="00994B72" w:rsidRDefault="00994B72" w:rsidP="00E9751D">
      <w:pPr>
        <w:spacing w:after="120" w:line="276" w:lineRule="auto"/>
        <w:jc w:val="center"/>
        <w:rPr>
          <w:rFonts w:eastAsia="Times New Roman"/>
          <w:b/>
          <w:color w:val="0070C0"/>
          <w:sz w:val="32"/>
          <w:szCs w:val="32"/>
        </w:rPr>
      </w:pPr>
    </w:p>
    <w:p w14:paraId="553CA9DC" w14:textId="77777777" w:rsidR="00994B72" w:rsidRDefault="00994B72" w:rsidP="00E9751D">
      <w:pPr>
        <w:spacing w:after="120" w:line="276" w:lineRule="auto"/>
        <w:jc w:val="center"/>
        <w:rPr>
          <w:rFonts w:eastAsia="Times New Roman"/>
          <w:b/>
          <w:color w:val="0070C0"/>
          <w:sz w:val="32"/>
          <w:szCs w:val="32"/>
        </w:rPr>
      </w:pPr>
    </w:p>
    <w:p w14:paraId="45822FDA" w14:textId="6250EA62" w:rsidR="00FE22F6" w:rsidRPr="00A77AAD" w:rsidRDefault="00FE22F6" w:rsidP="00E9751D">
      <w:pPr>
        <w:spacing w:after="120" w:line="276" w:lineRule="auto"/>
        <w:jc w:val="center"/>
        <w:rPr>
          <w:rFonts w:eastAsia="Times New Roman"/>
          <w:b/>
          <w:color w:val="0070C0"/>
          <w:sz w:val="32"/>
          <w:szCs w:val="32"/>
        </w:rPr>
      </w:pPr>
      <w:r w:rsidRPr="00A77AAD">
        <w:rPr>
          <w:rFonts w:eastAsia="Times New Roman"/>
          <w:b/>
          <w:color w:val="0070C0"/>
          <w:sz w:val="32"/>
          <w:szCs w:val="32"/>
        </w:rPr>
        <w:t xml:space="preserve">Opinia </w:t>
      </w:r>
      <w:r w:rsidR="00D75FA6" w:rsidRPr="00A77AAD">
        <w:rPr>
          <w:rFonts w:eastAsia="Times New Roman"/>
          <w:b/>
          <w:color w:val="0070C0"/>
          <w:sz w:val="32"/>
          <w:szCs w:val="32"/>
        </w:rPr>
        <w:t>preli</w:t>
      </w:r>
      <w:r w:rsidR="002C5913" w:rsidRPr="00A77AAD">
        <w:rPr>
          <w:rFonts w:eastAsia="Times New Roman"/>
          <w:b/>
          <w:color w:val="0070C0"/>
          <w:sz w:val="32"/>
          <w:szCs w:val="32"/>
        </w:rPr>
        <w:t>mi</w:t>
      </w:r>
      <w:r w:rsidR="00D75FA6" w:rsidRPr="00A77AAD">
        <w:rPr>
          <w:rFonts w:eastAsia="Times New Roman"/>
          <w:b/>
          <w:color w:val="0070C0"/>
          <w:sz w:val="32"/>
          <w:szCs w:val="32"/>
        </w:rPr>
        <w:t xml:space="preserve">nară a </w:t>
      </w:r>
      <w:r w:rsidRPr="00A77AAD">
        <w:rPr>
          <w:rFonts w:eastAsia="Times New Roman"/>
          <w:b/>
          <w:color w:val="0070C0"/>
          <w:sz w:val="32"/>
          <w:szCs w:val="32"/>
        </w:rPr>
        <w:t>Consiliului Fiscal cu privire la proiectul</w:t>
      </w:r>
      <w:r w:rsidR="00D75FA6" w:rsidRPr="00A77AAD">
        <w:rPr>
          <w:rFonts w:eastAsia="Times New Roman"/>
          <w:b/>
          <w:color w:val="0070C0"/>
          <w:sz w:val="32"/>
          <w:szCs w:val="32"/>
        </w:rPr>
        <w:t xml:space="preserve"> celei de-a</w:t>
      </w:r>
      <w:r w:rsidRPr="00A77AAD">
        <w:rPr>
          <w:rFonts w:eastAsia="Times New Roman"/>
          <w:b/>
          <w:color w:val="0070C0"/>
          <w:sz w:val="32"/>
          <w:szCs w:val="32"/>
        </w:rPr>
        <w:t xml:space="preserve"> </w:t>
      </w:r>
      <w:r w:rsidR="00195ED0" w:rsidRPr="00A77AAD">
        <w:rPr>
          <w:rFonts w:eastAsia="Times New Roman"/>
          <w:b/>
          <w:color w:val="0070C0"/>
          <w:sz w:val="32"/>
          <w:szCs w:val="32"/>
        </w:rPr>
        <w:t xml:space="preserve">doua </w:t>
      </w:r>
      <w:r w:rsidRPr="00A77AAD">
        <w:rPr>
          <w:rFonts w:eastAsia="Times New Roman"/>
          <w:b/>
          <w:color w:val="0070C0"/>
          <w:sz w:val="32"/>
          <w:szCs w:val="32"/>
        </w:rPr>
        <w:t>rectificări a bugetului general consolidat pe anul 2021</w:t>
      </w:r>
    </w:p>
    <w:p w14:paraId="2E72AAEB" w14:textId="77777777" w:rsidR="00193F16" w:rsidRPr="00D75FA6" w:rsidRDefault="00193F16" w:rsidP="003A1575">
      <w:pPr>
        <w:spacing w:after="200" w:line="276" w:lineRule="auto"/>
        <w:jc w:val="both"/>
        <w:rPr>
          <w:rFonts w:cs="Calibri"/>
          <w:sz w:val="24"/>
          <w:szCs w:val="24"/>
        </w:rPr>
      </w:pPr>
    </w:p>
    <w:p w14:paraId="0013C25B" w14:textId="77777777" w:rsidR="003A1575" w:rsidRPr="00D75FA6" w:rsidRDefault="003A1575" w:rsidP="00AC533C">
      <w:pPr>
        <w:spacing w:after="200" w:line="276" w:lineRule="auto"/>
        <w:jc w:val="both"/>
        <w:rPr>
          <w:rFonts w:cs="Calibri"/>
          <w:sz w:val="24"/>
          <w:szCs w:val="24"/>
        </w:rPr>
      </w:pPr>
      <w:r w:rsidRPr="00D75FA6">
        <w:rPr>
          <w:rFonts w:cs="Calibri"/>
          <w:sz w:val="24"/>
          <w:szCs w:val="24"/>
        </w:rPr>
        <w:t>În</w:t>
      </w:r>
      <w:r w:rsidR="002D6712" w:rsidRPr="00D75FA6">
        <w:rPr>
          <w:rFonts w:cs="Calibri"/>
          <w:sz w:val="24"/>
          <w:szCs w:val="24"/>
        </w:rPr>
        <w:t xml:space="preserve"> data de </w:t>
      </w:r>
      <w:r w:rsidR="005806DE" w:rsidRPr="00D75FA6">
        <w:rPr>
          <w:rFonts w:cs="Calibri"/>
          <w:sz w:val="24"/>
          <w:szCs w:val="24"/>
        </w:rPr>
        <w:t>24</w:t>
      </w:r>
      <w:r w:rsidRPr="00D75FA6">
        <w:rPr>
          <w:rFonts w:cs="Calibri"/>
          <w:sz w:val="24"/>
          <w:szCs w:val="24"/>
        </w:rPr>
        <w:t xml:space="preserve"> </w:t>
      </w:r>
      <w:r w:rsidR="005806DE" w:rsidRPr="00D75FA6">
        <w:rPr>
          <w:rFonts w:cs="Calibri"/>
          <w:sz w:val="24"/>
          <w:szCs w:val="24"/>
        </w:rPr>
        <w:t>noiembrie</w:t>
      </w:r>
      <w:r w:rsidRPr="00D75FA6">
        <w:rPr>
          <w:rFonts w:cs="Calibri"/>
          <w:sz w:val="24"/>
          <w:szCs w:val="24"/>
        </w:rPr>
        <w:t xml:space="preserve"> 2021, Ministerul Finanțelor (MF) a trimis Consiliului </w:t>
      </w:r>
      <w:r w:rsidR="0017220D">
        <w:rPr>
          <w:rFonts w:cs="Calibri"/>
          <w:sz w:val="24"/>
          <w:szCs w:val="24"/>
        </w:rPr>
        <w:t>F</w:t>
      </w:r>
      <w:r w:rsidRPr="00D75FA6">
        <w:rPr>
          <w:rFonts w:cs="Calibri"/>
          <w:sz w:val="24"/>
          <w:szCs w:val="24"/>
        </w:rPr>
        <w:t>iscal (CF), prin adresa nr. 46</w:t>
      </w:r>
      <w:r w:rsidR="005806DE" w:rsidRPr="00D75FA6">
        <w:rPr>
          <w:rFonts w:cs="Calibri"/>
          <w:sz w:val="24"/>
          <w:szCs w:val="24"/>
        </w:rPr>
        <w:t>7362</w:t>
      </w:r>
      <w:r w:rsidRPr="00D75FA6">
        <w:rPr>
          <w:rFonts w:cs="Calibri"/>
          <w:sz w:val="24"/>
          <w:szCs w:val="24"/>
        </w:rPr>
        <w:t>/</w:t>
      </w:r>
      <w:r w:rsidR="005806DE" w:rsidRPr="00D75FA6">
        <w:rPr>
          <w:rFonts w:cs="Calibri"/>
          <w:sz w:val="24"/>
          <w:szCs w:val="24"/>
        </w:rPr>
        <w:t>24</w:t>
      </w:r>
      <w:r w:rsidRPr="00D75FA6">
        <w:rPr>
          <w:rFonts w:cs="Calibri"/>
          <w:sz w:val="24"/>
          <w:szCs w:val="24"/>
        </w:rPr>
        <w:t>.</w:t>
      </w:r>
      <w:r w:rsidR="005806DE" w:rsidRPr="00D75FA6">
        <w:rPr>
          <w:rFonts w:cs="Calibri"/>
          <w:sz w:val="24"/>
          <w:szCs w:val="24"/>
        </w:rPr>
        <w:t>11</w:t>
      </w:r>
      <w:r w:rsidRPr="00D75FA6">
        <w:rPr>
          <w:rFonts w:cs="Calibri"/>
          <w:sz w:val="24"/>
          <w:szCs w:val="24"/>
        </w:rPr>
        <w:t xml:space="preserve">.2021, </w:t>
      </w:r>
      <w:r w:rsidR="00FC1456" w:rsidRPr="00D75FA6">
        <w:rPr>
          <w:rFonts w:cs="Calibri"/>
          <w:sz w:val="24"/>
          <w:szCs w:val="24"/>
        </w:rPr>
        <w:t>proiectul de rectificare a bugetului general consolidat pe anul 2021, Nota de fundamen</w:t>
      </w:r>
      <w:r w:rsidR="005D7006" w:rsidRPr="00D75FA6">
        <w:rPr>
          <w:rFonts w:cs="Calibri"/>
          <w:sz w:val="24"/>
          <w:szCs w:val="24"/>
        </w:rPr>
        <w:t xml:space="preserve">tare și proiectul Ordonanței de urgență a Guvernului cu privire la rectificarea bugetului de stat pe anul 2021, precum și Nota de fundamentare și proiectul Ordonanței de urgență a Guvernului pentru rectificarea </w:t>
      </w:r>
      <w:r w:rsidR="00AC533C" w:rsidRPr="00D75FA6">
        <w:rPr>
          <w:rFonts w:cs="Calibri"/>
          <w:sz w:val="24"/>
          <w:szCs w:val="24"/>
        </w:rPr>
        <w:t xml:space="preserve">bugetului asigurărilor sociale de stat pe anul 2021, </w:t>
      </w:r>
      <w:r w:rsidRPr="00D75FA6">
        <w:rPr>
          <w:rFonts w:cs="Calibri"/>
          <w:sz w:val="24"/>
          <w:szCs w:val="24"/>
        </w:rPr>
        <w:t>solicitând, în temeiul art.</w:t>
      </w:r>
      <w:r w:rsidRPr="00D75FA6">
        <w:rPr>
          <w:rFonts w:cs="Calibri"/>
          <w:bCs/>
          <w:sz w:val="24"/>
          <w:szCs w:val="24"/>
        </w:rPr>
        <w:t> </w:t>
      </w:r>
      <w:r w:rsidRPr="00D75FA6">
        <w:rPr>
          <w:rFonts w:cs="Calibri"/>
          <w:sz w:val="24"/>
          <w:szCs w:val="24"/>
        </w:rPr>
        <w:t>53, alin.</w:t>
      </w:r>
      <w:r w:rsidRPr="00D75FA6">
        <w:rPr>
          <w:rFonts w:cs="Calibri"/>
          <w:bCs/>
          <w:sz w:val="24"/>
          <w:szCs w:val="24"/>
        </w:rPr>
        <w:t> </w:t>
      </w:r>
      <w:r w:rsidRPr="00D75FA6">
        <w:rPr>
          <w:rFonts w:cs="Calibri"/>
          <w:sz w:val="24"/>
          <w:szCs w:val="24"/>
        </w:rPr>
        <w:t>(2) din Legea Responsabilității Fiscal-Bugetare (nr.</w:t>
      </w:r>
      <w:r w:rsidRPr="00D75FA6">
        <w:rPr>
          <w:rFonts w:cs="Calibri"/>
          <w:bCs/>
          <w:sz w:val="24"/>
          <w:szCs w:val="24"/>
        </w:rPr>
        <w:t> </w:t>
      </w:r>
      <w:r w:rsidRPr="00D75FA6">
        <w:rPr>
          <w:rFonts w:cs="Calibri"/>
          <w:sz w:val="24"/>
          <w:szCs w:val="24"/>
        </w:rPr>
        <w:t xml:space="preserve">69/2010, republicată, de aici înainte numită LRFB), opinia Consiliului </w:t>
      </w:r>
      <w:r w:rsidR="0017220D">
        <w:rPr>
          <w:rFonts w:cs="Calibri"/>
          <w:sz w:val="24"/>
          <w:szCs w:val="24"/>
        </w:rPr>
        <w:t>F</w:t>
      </w:r>
      <w:r w:rsidRPr="00D75FA6">
        <w:rPr>
          <w:rFonts w:cs="Calibri"/>
          <w:sz w:val="24"/>
          <w:szCs w:val="24"/>
        </w:rPr>
        <w:t>iscal cu privire la acestea.</w:t>
      </w:r>
    </w:p>
    <w:p w14:paraId="1113CD64" w14:textId="3F0B8066" w:rsidR="003A1575" w:rsidRDefault="003A1575" w:rsidP="003A1575">
      <w:pPr>
        <w:spacing w:after="200" w:line="276" w:lineRule="auto"/>
        <w:jc w:val="both"/>
        <w:rPr>
          <w:rFonts w:cs="Calibri"/>
          <w:sz w:val="24"/>
          <w:szCs w:val="24"/>
        </w:rPr>
      </w:pPr>
      <w:r w:rsidRPr="00D75FA6">
        <w:rPr>
          <w:rFonts w:cs="Calibri"/>
          <w:sz w:val="24"/>
          <w:szCs w:val="24"/>
        </w:rPr>
        <w:t xml:space="preserve">Potrivit articolului 53, alineatul (4) al LRFB, Guvernul și Parlamentul au obligația de a analiza opiniile și recomandările Consiliului </w:t>
      </w:r>
      <w:r w:rsidR="0017220D">
        <w:rPr>
          <w:rFonts w:cs="Calibri"/>
          <w:sz w:val="24"/>
          <w:szCs w:val="24"/>
        </w:rPr>
        <w:t>F</w:t>
      </w:r>
      <w:r w:rsidRPr="00D75FA6">
        <w:rPr>
          <w:rFonts w:cs="Calibri"/>
          <w:sz w:val="24"/>
          <w:szCs w:val="24"/>
        </w:rPr>
        <w:t>iscal la elaborarea Strategiei fiscal-bugetare, a legilor bugetare anuale, precum și la elaborarea altor măsuri determinate de aplicarea prezentei legi și, respectiv, l</w:t>
      </w:r>
      <w:r w:rsidR="00AC533C" w:rsidRPr="00D75FA6">
        <w:rPr>
          <w:rFonts w:cs="Calibri"/>
          <w:sz w:val="24"/>
          <w:szCs w:val="24"/>
        </w:rPr>
        <w:t>a însușirea/aprobarea acestora.</w:t>
      </w:r>
    </w:p>
    <w:p w14:paraId="4191C54E" w14:textId="11608C69" w:rsidR="00C419A4" w:rsidRDefault="003034BF" w:rsidP="002C5913">
      <w:pPr>
        <w:spacing w:after="200" w:line="276" w:lineRule="auto"/>
        <w:jc w:val="both"/>
        <w:rPr>
          <w:rFonts w:eastAsia="Times New Roman" w:cs="Calibri"/>
          <w:sz w:val="24"/>
          <w:szCs w:val="24"/>
        </w:rPr>
      </w:pPr>
      <w:r w:rsidRPr="003034BF">
        <w:rPr>
          <w:rFonts w:eastAsia="Times New Roman" w:cs="Calibri"/>
          <w:sz w:val="24"/>
          <w:szCs w:val="24"/>
        </w:rPr>
        <w:t xml:space="preserve">Având în vedere intenția noului Guvern de a aproba documentele mai sus menționate în cursul unei ședințe de </w:t>
      </w:r>
      <w:r w:rsidR="00565907">
        <w:rPr>
          <w:rFonts w:eastAsia="Times New Roman" w:cs="Calibri"/>
          <w:sz w:val="24"/>
          <w:szCs w:val="24"/>
        </w:rPr>
        <w:t>G</w:t>
      </w:r>
      <w:r w:rsidRPr="003034BF">
        <w:rPr>
          <w:rFonts w:eastAsia="Times New Roman" w:cs="Calibri"/>
          <w:sz w:val="24"/>
          <w:szCs w:val="24"/>
        </w:rPr>
        <w:t>uvern</w:t>
      </w:r>
      <w:r w:rsidR="00AF56C0">
        <w:rPr>
          <w:rFonts w:eastAsia="Times New Roman" w:cs="Calibri"/>
          <w:sz w:val="24"/>
          <w:szCs w:val="24"/>
        </w:rPr>
        <w:t xml:space="preserve"> anunțată pentru</w:t>
      </w:r>
      <w:r w:rsidRPr="003034BF">
        <w:rPr>
          <w:rFonts w:eastAsia="Times New Roman" w:cs="Calibri"/>
          <w:sz w:val="24"/>
          <w:szCs w:val="24"/>
        </w:rPr>
        <w:t xml:space="preserve"> ziua de vineri, 26 noiembrie a.c.</w:t>
      </w:r>
      <w:r w:rsidR="00AF56C0">
        <w:rPr>
          <w:rFonts w:eastAsia="Times New Roman" w:cs="Calibri"/>
          <w:sz w:val="24"/>
          <w:szCs w:val="24"/>
        </w:rPr>
        <w:t xml:space="preserve"> </w:t>
      </w:r>
      <w:r w:rsidR="00AF56C0" w:rsidRPr="003034BF">
        <w:rPr>
          <w:rFonts w:eastAsia="Times New Roman" w:cs="Calibri"/>
          <w:sz w:val="24"/>
          <w:szCs w:val="24"/>
        </w:rPr>
        <w:t>–</w:t>
      </w:r>
      <w:r w:rsidRPr="003034BF">
        <w:rPr>
          <w:rFonts w:eastAsia="Times New Roman" w:cs="Calibri"/>
          <w:sz w:val="24"/>
          <w:szCs w:val="24"/>
        </w:rPr>
        <w:t xml:space="preserve"> ceea ce </w:t>
      </w:r>
      <w:r w:rsidR="00B71797">
        <w:rPr>
          <w:rFonts w:eastAsia="Times New Roman" w:cs="Calibri"/>
          <w:sz w:val="24"/>
          <w:szCs w:val="24"/>
        </w:rPr>
        <w:t>reprezintă</w:t>
      </w:r>
      <w:r w:rsidRPr="003034BF">
        <w:rPr>
          <w:rFonts w:eastAsia="Times New Roman" w:cs="Calibri"/>
          <w:sz w:val="24"/>
          <w:szCs w:val="24"/>
        </w:rPr>
        <w:t xml:space="preserve"> un interval de timp</w:t>
      </w:r>
      <w:r w:rsidR="00B71797">
        <w:rPr>
          <w:rFonts w:eastAsia="Times New Roman" w:cs="Calibri"/>
          <w:sz w:val="24"/>
          <w:szCs w:val="24"/>
        </w:rPr>
        <w:t xml:space="preserve"> foarte scurt</w:t>
      </w:r>
      <w:r w:rsidRPr="003034BF">
        <w:rPr>
          <w:rFonts w:eastAsia="Times New Roman" w:cs="Calibri"/>
          <w:sz w:val="24"/>
          <w:szCs w:val="24"/>
        </w:rPr>
        <w:t xml:space="preserve"> pentru elaborarea </w:t>
      </w:r>
      <w:r w:rsidR="001D21D5">
        <w:rPr>
          <w:rFonts w:eastAsia="Times New Roman" w:cs="Calibri"/>
          <w:sz w:val="24"/>
          <w:szCs w:val="24"/>
        </w:rPr>
        <w:t>unei opinii complete</w:t>
      </w:r>
      <w:r w:rsidRPr="003034BF">
        <w:rPr>
          <w:rFonts w:eastAsia="Times New Roman" w:cs="Calibri"/>
          <w:sz w:val="24"/>
          <w:szCs w:val="24"/>
        </w:rPr>
        <w:t xml:space="preserve"> –</w:t>
      </w:r>
      <w:r w:rsidR="00C419A4">
        <w:rPr>
          <w:rFonts w:eastAsia="Times New Roman" w:cs="Calibri"/>
          <w:sz w:val="24"/>
          <w:szCs w:val="24"/>
        </w:rPr>
        <w:t xml:space="preserve"> </w:t>
      </w:r>
      <w:r w:rsidRPr="003034BF">
        <w:rPr>
          <w:rFonts w:eastAsia="Times New Roman" w:cs="Calibri"/>
          <w:sz w:val="24"/>
          <w:szCs w:val="24"/>
        </w:rPr>
        <w:t xml:space="preserve">și din motive care țin de clarificarea unor informații </w:t>
      </w:r>
      <w:r w:rsidR="001D21D5">
        <w:rPr>
          <w:rFonts w:eastAsia="Times New Roman" w:cs="Calibri"/>
          <w:sz w:val="24"/>
          <w:szCs w:val="24"/>
        </w:rPr>
        <w:t xml:space="preserve">necesare </w:t>
      </w:r>
      <w:r w:rsidRPr="003034BF">
        <w:rPr>
          <w:rFonts w:eastAsia="Times New Roman" w:cs="Calibri"/>
          <w:sz w:val="24"/>
          <w:szCs w:val="24"/>
        </w:rPr>
        <w:t>privind rectificarea bugetară, Consiliul Fiscal a decis elaborarea unei opinii preliminare.</w:t>
      </w:r>
    </w:p>
    <w:p w14:paraId="0B021BB1" w14:textId="06E6C591" w:rsidR="00F7568E" w:rsidRDefault="003034BF" w:rsidP="002C5913">
      <w:pPr>
        <w:spacing w:after="200" w:line="276" w:lineRule="auto"/>
        <w:jc w:val="both"/>
        <w:rPr>
          <w:rFonts w:eastAsia="Times New Roman" w:cs="Calibri"/>
          <w:sz w:val="24"/>
          <w:szCs w:val="24"/>
        </w:rPr>
      </w:pPr>
      <w:r w:rsidRPr="003034BF">
        <w:rPr>
          <w:rFonts w:eastAsia="Times New Roman" w:cs="Calibri"/>
          <w:sz w:val="24"/>
          <w:szCs w:val="24"/>
        </w:rPr>
        <w:t>Opinia preliminară face o evaluare succintă a cadrului macroeconomic ce fundamentează a doua rectificare bugetară din anul 2021</w:t>
      </w:r>
      <w:r w:rsidR="00334839">
        <w:rPr>
          <w:rFonts w:eastAsia="Times New Roman" w:cs="Calibri"/>
          <w:sz w:val="24"/>
          <w:szCs w:val="24"/>
        </w:rPr>
        <w:t xml:space="preserve">, </w:t>
      </w:r>
      <w:r w:rsidRPr="003034BF">
        <w:rPr>
          <w:rFonts w:eastAsia="Times New Roman" w:cs="Calibri"/>
          <w:sz w:val="24"/>
          <w:szCs w:val="24"/>
        </w:rPr>
        <w:t xml:space="preserve">a coordonatelor actualizate </w:t>
      </w:r>
      <w:r w:rsidR="00DC1424">
        <w:rPr>
          <w:rFonts w:eastAsia="Times New Roman" w:cs="Calibri"/>
          <w:sz w:val="24"/>
          <w:szCs w:val="24"/>
        </w:rPr>
        <w:t xml:space="preserve">de bază </w:t>
      </w:r>
      <w:r w:rsidRPr="003034BF">
        <w:rPr>
          <w:rFonts w:eastAsia="Times New Roman" w:cs="Calibri"/>
          <w:sz w:val="24"/>
          <w:szCs w:val="24"/>
        </w:rPr>
        <w:t xml:space="preserve">ale veniturilor și cheltuielilor bugetare propuse </w:t>
      </w:r>
      <w:r w:rsidR="00334839">
        <w:rPr>
          <w:rFonts w:eastAsia="Times New Roman" w:cs="Calibri"/>
          <w:sz w:val="24"/>
          <w:szCs w:val="24"/>
        </w:rPr>
        <w:t>în</w:t>
      </w:r>
      <w:r w:rsidRPr="003034BF">
        <w:rPr>
          <w:rFonts w:eastAsia="Times New Roman" w:cs="Calibri"/>
          <w:sz w:val="24"/>
          <w:szCs w:val="24"/>
        </w:rPr>
        <w:t xml:space="preserve"> proiect</w:t>
      </w:r>
      <w:r w:rsidR="00334839">
        <w:rPr>
          <w:rFonts w:eastAsia="Times New Roman" w:cs="Calibri"/>
          <w:sz w:val="24"/>
          <w:szCs w:val="24"/>
        </w:rPr>
        <w:t>ul</w:t>
      </w:r>
      <w:r w:rsidRPr="003034BF">
        <w:rPr>
          <w:rFonts w:eastAsia="Times New Roman" w:cs="Calibri"/>
          <w:sz w:val="24"/>
          <w:szCs w:val="24"/>
        </w:rPr>
        <w:t xml:space="preserve"> de rectificare</w:t>
      </w:r>
      <w:r w:rsidR="00E71F14">
        <w:rPr>
          <w:rFonts w:eastAsia="Times New Roman" w:cs="Calibri"/>
          <w:sz w:val="24"/>
          <w:szCs w:val="24"/>
        </w:rPr>
        <w:t>,</w:t>
      </w:r>
      <w:r w:rsidR="00334839">
        <w:rPr>
          <w:rFonts w:eastAsia="Times New Roman" w:cs="Calibri"/>
          <w:sz w:val="24"/>
          <w:szCs w:val="24"/>
        </w:rPr>
        <w:t xml:space="preserve"> </w:t>
      </w:r>
      <w:r w:rsidR="00334839">
        <w:rPr>
          <w:rFonts w:cs="Calibri"/>
          <w:sz w:val="24"/>
          <w:szCs w:val="24"/>
        </w:rPr>
        <w:t xml:space="preserve">a conformării cu regulile fiscale, </w:t>
      </w:r>
      <w:r w:rsidRPr="003034BF">
        <w:rPr>
          <w:rFonts w:eastAsia="Times New Roman" w:cs="Calibri"/>
          <w:sz w:val="24"/>
          <w:szCs w:val="24"/>
        </w:rPr>
        <w:t xml:space="preserve">urmând ca opinia completă să fie </w:t>
      </w:r>
      <w:r w:rsidR="00E71F14">
        <w:rPr>
          <w:rFonts w:eastAsia="Times New Roman" w:cs="Calibri"/>
          <w:sz w:val="24"/>
          <w:szCs w:val="24"/>
        </w:rPr>
        <w:t>redactată</w:t>
      </w:r>
      <w:r w:rsidRPr="003034BF">
        <w:rPr>
          <w:rFonts w:eastAsia="Times New Roman" w:cs="Calibri"/>
          <w:sz w:val="24"/>
          <w:szCs w:val="24"/>
        </w:rPr>
        <w:t xml:space="preserve"> în perioada următoare.</w:t>
      </w:r>
    </w:p>
    <w:p w14:paraId="13C43A53" w14:textId="77777777" w:rsidR="003034BF" w:rsidRPr="003034BF" w:rsidRDefault="003034BF" w:rsidP="002C5913">
      <w:pPr>
        <w:spacing w:after="200" w:line="276" w:lineRule="auto"/>
        <w:jc w:val="both"/>
        <w:rPr>
          <w:rFonts w:eastAsia="Times New Roman" w:cs="Calibri"/>
          <w:sz w:val="24"/>
          <w:szCs w:val="24"/>
        </w:rPr>
      </w:pPr>
    </w:p>
    <w:p w14:paraId="6AED0E2B" w14:textId="77777777" w:rsidR="00B544AF" w:rsidRPr="002C5913" w:rsidRDefault="00B544AF" w:rsidP="002C5913">
      <w:pPr>
        <w:spacing w:after="200" w:line="276" w:lineRule="auto"/>
        <w:jc w:val="both"/>
        <w:rPr>
          <w:rFonts w:cs="Calibri"/>
          <w:sz w:val="24"/>
          <w:szCs w:val="24"/>
        </w:rPr>
      </w:pPr>
      <w:r w:rsidRPr="00D75FA6">
        <w:rPr>
          <w:rFonts w:cs="Calibri"/>
          <w:b/>
          <w:i/>
          <w:sz w:val="26"/>
          <w:szCs w:val="26"/>
        </w:rPr>
        <w:t xml:space="preserve">Cadrul macroeconomic ce fundamentează </w:t>
      </w:r>
      <w:r w:rsidR="00CC2393" w:rsidRPr="00D75FA6">
        <w:rPr>
          <w:rFonts w:cs="Calibri"/>
          <w:b/>
          <w:i/>
          <w:sz w:val="26"/>
          <w:szCs w:val="26"/>
        </w:rPr>
        <w:t xml:space="preserve">a doua </w:t>
      </w:r>
      <w:r w:rsidRPr="00D75FA6">
        <w:rPr>
          <w:rFonts w:cs="Calibri"/>
          <w:b/>
          <w:i/>
          <w:sz w:val="26"/>
          <w:szCs w:val="26"/>
        </w:rPr>
        <w:t>rectificare bugetară din 2021</w:t>
      </w:r>
    </w:p>
    <w:p w14:paraId="31641469" w14:textId="26F2A1FC" w:rsidR="00DC3035" w:rsidRPr="00DC3035" w:rsidRDefault="00DC3035" w:rsidP="00DC3035">
      <w:pPr>
        <w:spacing w:after="200" w:line="276" w:lineRule="auto"/>
        <w:jc w:val="both"/>
        <w:rPr>
          <w:rFonts w:eastAsia="Times New Roman" w:cs="Calibri"/>
          <w:sz w:val="24"/>
          <w:szCs w:val="24"/>
        </w:rPr>
      </w:pPr>
      <w:r w:rsidRPr="00DC3035">
        <w:rPr>
          <w:rFonts w:eastAsia="Times New Roman" w:cs="Calibri"/>
          <w:sz w:val="24"/>
          <w:szCs w:val="24"/>
        </w:rPr>
        <w:t xml:space="preserve">Consiliul Fiscal evaluează plauzibilitatea modificărilor din </w:t>
      </w:r>
      <w:r w:rsidR="00362F2B">
        <w:rPr>
          <w:rFonts w:eastAsia="Times New Roman" w:cs="Calibri"/>
          <w:sz w:val="24"/>
          <w:szCs w:val="24"/>
        </w:rPr>
        <w:t>actuala</w:t>
      </w:r>
      <w:r w:rsidRPr="00DC3035">
        <w:rPr>
          <w:rFonts w:eastAsia="Times New Roman" w:cs="Calibri"/>
          <w:sz w:val="24"/>
          <w:szCs w:val="24"/>
        </w:rPr>
        <w:t xml:space="preserve"> rectificare, a doua din acest an, pornind și de la cadrul macroeconomic intern și extern care st</w:t>
      </w:r>
      <w:r w:rsidR="00CF0494">
        <w:rPr>
          <w:rFonts w:eastAsia="Times New Roman" w:cs="Calibri"/>
          <w:sz w:val="24"/>
          <w:szCs w:val="24"/>
        </w:rPr>
        <w:t>ă</w:t>
      </w:r>
      <w:r w:rsidRPr="00DC3035">
        <w:rPr>
          <w:rFonts w:eastAsia="Times New Roman" w:cs="Calibri"/>
          <w:sz w:val="24"/>
          <w:szCs w:val="24"/>
        </w:rPr>
        <w:t xml:space="preserve"> la baza acestora. Considerațiile formulate au în vedere</w:t>
      </w:r>
      <w:r w:rsidR="00841DE7">
        <w:rPr>
          <w:rFonts w:eastAsia="Times New Roman" w:cs="Calibri"/>
          <w:sz w:val="24"/>
          <w:szCs w:val="24"/>
        </w:rPr>
        <w:t xml:space="preserve">, între altele, </w:t>
      </w:r>
      <w:r w:rsidRPr="00DC3035">
        <w:rPr>
          <w:rFonts w:eastAsia="Times New Roman" w:cs="Calibri"/>
          <w:sz w:val="24"/>
          <w:szCs w:val="24"/>
        </w:rPr>
        <w:t xml:space="preserve">prognoza </w:t>
      </w:r>
      <w:r w:rsidR="00362F2B">
        <w:rPr>
          <w:rFonts w:eastAsia="Times New Roman" w:cs="Calibri"/>
          <w:sz w:val="24"/>
          <w:szCs w:val="24"/>
        </w:rPr>
        <w:t>revăzută</w:t>
      </w:r>
      <w:r w:rsidRPr="00DC3035">
        <w:rPr>
          <w:rFonts w:eastAsia="Times New Roman" w:cs="Calibri"/>
          <w:sz w:val="24"/>
          <w:szCs w:val="24"/>
        </w:rPr>
        <w:t xml:space="preserve"> publicată de Comisia Națională pentru Strategie și Prognoză (CNSP), în data de 15 noiembrie a.c.</w:t>
      </w:r>
      <w:r w:rsidR="00841DE7">
        <w:rPr>
          <w:rFonts w:eastAsia="Times New Roman" w:cs="Calibri"/>
          <w:sz w:val="24"/>
          <w:szCs w:val="24"/>
        </w:rPr>
        <w:t xml:space="preserve"> </w:t>
      </w:r>
      <w:r w:rsidRPr="00DC3035">
        <w:rPr>
          <w:rFonts w:eastAsia="Times New Roman" w:cs="Calibri"/>
          <w:sz w:val="24"/>
          <w:szCs w:val="24"/>
        </w:rPr>
        <w:t xml:space="preserve">și </w:t>
      </w:r>
      <w:r w:rsidR="001F57D2">
        <w:rPr>
          <w:rFonts w:eastAsia="Times New Roman" w:cs="Calibri"/>
          <w:sz w:val="24"/>
          <w:szCs w:val="24"/>
        </w:rPr>
        <w:t>N</w:t>
      </w:r>
      <w:r w:rsidRPr="00DC3035">
        <w:rPr>
          <w:rFonts w:eastAsia="Times New Roman" w:cs="Calibri"/>
          <w:sz w:val="24"/>
          <w:szCs w:val="24"/>
        </w:rPr>
        <w:t xml:space="preserve">ota </w:t>
      </w:r>
      <w:r w:rsidR="0018677D">
        <w:rPr>
          <w:rFonts w:eastAsia="Times New Roman" w:cs="Calibri"/>
          <w:sz w:val="24"/>
          <w:szCs w:val="24"/>
        </w:rPr>
        <w:t>care o însoțește</w:t>
      </w:r>
      <w:r w:rsidRPr="00DC3035">
        <w:rPr>
          <w:rFonts w:eastAsia="Times New Roman" w:cs="Calibri"/>
          <w:sz w:val="24"/>
          <w:szCs w:val="24"/>
        </w:rPr>
        <w:t>.</w:t>
      </w:r>
    </w:p>
    <w:p w14:paraId="676FCEF8" w14:textId="5D4ED9DF" w:rsidR="00DC3035" w:rsidRPr="00DC3035" w:rsidRDefault="00DC3035" w:rsidP="00DC3035">
      <w:pPr>
        <w:spacing w:after="200" w:line="276" w:lineRule="auto"/>
        <w:jc w:val="both"/>
        <w:rPr>
          <w:rFonts w:eastAsia="Times New Roman" w:cs="Calibri"/>
          <w:sz w:val="24"/>
          <w:szCs w:val="24"/>
        </w:rPr>
      </w:pPr>
      <w:r w:rsidRPr="00DC3035">
        <w:rPr>
          <w:rFonts w:eastAsia="Times New Roman" w:cs="Calibri"/>
          <w:sz w:val="24"/>
          <w:szCs w:val="24"/>
        </w:rPr>
        <w:lastRenderedPageBreak/>
        <w:t xml:space="preserve">Revenirea economică anticipată s-a materializat în cea mai mare parte, la nivelul cvasi-majorității indicatorilor economici. </w:t>
      </w:r>
      <w:r w:rsidR="004A596D">
        <w:rPr>
          <w:rFonts w:eastAsia="Times New Roman" w:cs="Calibri"/>
          <w:sz w:val="24"/>
          <w:szCs w:val="24"/>
        </w:rPr>
        <w:t>A</w:t>
      </w:r>
      <w:r w:rsidRPr="00DC3035">
        <w:rPr>
          <w:rFonts w:eastAsia="Times New Roman" w:cs="Calibri"/>
          <w:sz w:val="24"/>
          <w:szCs w:val="24"/>
        </w:rPr>
        <w:t>cea</w:t>
      </w:r>
      <w:r w:rsidR="00F22C20">
        <w:rPr>
          <w:rFonts w:eastAsia="Times New Roman" w:cs="Calibri"/>
          <w:sz w:val="24"/>
          <w:szCs w:val="24"/>
        </w:rPr>
        <w:t>stă revenire</w:t>
      </w:r>
      <w:r w:rsidR="000F178B">
        <w:rPr>
          <w:rFonts w:eastAsia="Times New Roman" w:cs="Calibri"/>
          <w:sz w:val="24"/>
          <w:szCs w:val="24"/>
        </w:rPr>
        <w:t xml:space="preserve"> </w:t>
      </w:r>
      <w:r w:rsidRPr="00DC3035">
        <w:rPr>
          <w:rFonts w:eastAsia="Times New Roman" w:cs="Calibri"/>
          <w:sz w:val="24"/>
          <w:szCs w:val="24"/>
        </w:rPr>
        <w:t>– care, în unele cazuri, a readus indicatorii la valor</w:t>
      </w:r>
      <w:r w:rsidR="00977019">
        <w:rPr>
          <w:rFonts w:eastAsia="Times New Roman" w:cs="Calibri"/>
          <w:sz w:val="24"/>
          <w:szCs w:val="24"/>
        </w:rPr>
        <w:t xml:space="preserve">i     </w:t>
      </w:r>
      <w:r w:rsidRPr="00DC3035">
        <w:rPr>
          <w:rFonts w:eastAsia="Times New Roman" w:cs="Calibri"/>
          <w:sz w:val="24"/>
          <w:szCs w:val="24"/>
        </w:rPr>
        <w:t xml:space="preserve"> pre-pandemice sau chiar la valori superioare acestora – a beneficiat de un puternic efect de bază, nerepetabil, determinat de efectele economice negative ale pandemiei și ale restricțiilor aferente acesteia, manifes</w:t>
      </w:r>
      <w:r w:rsidR="00C517E9">
        <w:rPr>
          <w:rFonts w:eastAsia="Times New Roman" w:cs="Calibri"/>
          <w:sz w:val="24"/>
          <w:szCs w:val="24"/>
        </w:rPr>
        <w:t>t</w:t>
      </w:r>
      <w:r w:rsidRPr="00DC3035">
        <w:rPr>
          <w:rFonts w:eastAsia="Times New Roman" w:cs="Calibri"/>
          <w:sz w:val="24"/>
          <w:szCs w:val="24"/>
        </w:rPr>
        <w:t>e cu precădere în cursul anului 2020. Această realitate configurează o traiectorie economică, după dinamica mai alertă din 2021, care se va reîntoarce, în anii următori, la valori apropiate de media istorică</w:t>
      </w:r>
      <w:r w:rsidR="003034BF">
        <w:rPr>
          <w:rFonts w:eastAsia="Times New Roman" w:cs="Calibri"/>
          <w:sz w:val="24"/>
          <w:szCs w:val="24"/>
        </w:rPr>
        <w:t xml:space="preserve">, </w:t>
      </w:r>
      <w:r w:rsidR="003034BF">
        <w:rPr>
          <w:rFonts w:cs="Calibri"/>
          <w:sz w:val="24"/>
          <w:szCs w:val="24"/>
        </w:rPr>
        <w:t xml:space="preserve">chiar </w:t>
      </w:r>
      <w:r w:rsidR="00BF3971">
        <w:rPr>
          <w:rFonts w:cs="Calibri"/>
          <w:sz w:val="24"/>
          <w:szCs w:val="24"/>
        </w:rPr>
        <w:t>î</w:t>
      </w:r>
      <w:r w:rsidR="003034BF">
        <w:rPr>
          <w:rFonts w:cs="Calibri"/>
          <w:sz w:val="24"/>
          <w:szCs w:val="24"/>
        </w:rPr>
        <w:t xml:space="preserve">n </w:t>
      </w:r>
      <w:r w:rsidR="00BF3971">
        <w:rPr>
          <w:rFonts w:cs="Calibri"/>
          <w:sz w:val="24"/>
          <w:szCs w:val="24"/>
        </w:rPr>
        <w:t>condițiile</w:t>
      </w:r>
      <w:r w:rsidR="003034BF">
        <w:rPr>
          <w:rFonts w:cs="Calibri"/>
          <w:sz w:val="24"/>
          <w:szCs w:val="24"/>
        </w:rPr>
        <w:t xml:space="preserve"> unei </w:t>
      </w:r>
      <w:r w:rsidR="00BF3971">
        <w:rPr>
          <w:rFonts w:cs="Calibri"/>
          <w:sz w:val="24"/>
          <w:szCs w:val="24"/>
        </w:rPr>
        <w:t>absorbții</w:t>
      </w:r>
      <w:r w:rsidR="003034BF">
        <w:rPr>
          <w:rFonts w:cs="Calibri"/>
          <w:sz w:val="24"/>
          <w:szCs w:val="24"/>
        </w:rPr>
        <w:t xml:space="preserve"> intense de </w:t>
      </w:r>
      <w:r w:rsidR="000F178B">
        <w:rPr>
          <w:rFonts w:cs="Calibri"/>
          <w:sz w:val="24"/>
          <w:szCs w:val="24"/>
        </w:rPr>
        <w:t>fonduri</w:t>
      </w:r>
      <w:r w:rsidR="003034BF">
        <w:rPr>
          <w:rFonts w:cs="Calibri"/>
          <w:sz w:val="24"/>
          <w:szCs w:val="24"/>
        </w:rPr>
        <w:t xml:space="preserve"> europene (prin C</w:t>
      </w:r>
      <w:r w:rsidR="000F178B">
        <w:rPr>
          <w:rFonts w:cs="Calibri"/>
          <w:sz w:val="24"/>
          <w:szCs w:val="24"/>
        </w:rPr>
        <w:t>adrul Financiar Multianual - CFM</w:t>
      </w:r>
      <w:r w:rsidR="003034BF">
        <w:rPr>
          <w:rFonts w:cs="Calibri"/>
          <w:sz w:val="24"/>
          <w:szCs w:val="24"/>
        </w:rPr>
        <w:t xml:space="preserve"> </w:t>
      </w:r>
      <w:r w:rsidR="000F178B">
        <w:rPr>
          <w:rFonts w:cs="Calibri"/>
          <w:sz w:val="24"/>
          <w:szCs w:val="24"/>
        </w:rPr>
        <w:t>ș</w:t>
      </w:r>
      <w:r w:rsidR="003034BF">
        <w:rPr>
          <w:rFonts w:cs="Calibri"/>
          <w:sz w:val="24"/>
          <w:szCs w:val="24"/>
        </w:rPr>
        <w:t>i P</w:t>
      </w:r>
      <w:r w:rsidR="000F178B">
        <w:rPr>
          <w:rFonts w:cs="Calibri"/>
          <w:sz w:val="24"/>
          <w:szCs w:val="24"/>
        </w:rPr>
        <w:t>lanul Național de Redresare și Reziliență - P</w:t>
      </w:r>
      <w:r w:rsidR="003034BF">
        <w:rPr>
          <w:rFonts w:cs="Calibri"/>
          <w:sz w:val="24"/>
          <w:szCs w:val="24"/>
        </w:rPr>
        <w:t>NRR)</w:t>
      </w:r>
      <w:r w:rsidR="003034BF" w:rsidRPr="00D75FA6">
        <w:rPr>
          <w:rFonts w:cs="Calibri"/>
          <w:sz w:val="24"/>
          <w:szCs w:val="24"/>
        </w:rPr>
        <w:t>.</w:t>
      </w:r>
    </w:p>
    <w:p w14:paraId="46812FB5" w14:textId="32B85FB8" w:rsidR="003034BF" w:rsidRDefault="00DC3035" w:rsidP="00DC3035">
      <w:pPr>
        <w:spacing w:after="200" w:line="276" w:lineRule="auto"/>
        <w:jc w:val="both"/>
        <w:rPr>
          <w:rFonts w:eastAsia="Times New Roman" w:cs="Calibri"/>
          <w:sz w:val="24"/>
          <w:szCs w:val="24"/>
        </w:rPr>
      </w:pPr>
      <w:r w:rsidRPr="00DC3035">
        <w:rPr>
          <w:rFonts w:eastAsia="Times New Roman" w:cs="Calibri"/>
          <w:sz w:val="24"/>
          <w:szCs w:val="24"/>
        </w:rPr>
        <w:t xml:space="preserve">Proiecția actualizată a CNSP păstrează ritmul creșterii economice reale la nivelul de 7% în 2021 însă revizuiește deflatorul PIB de la 4% la 5,4%, încorporând, astfel, puseul inflaționist determinat, în principal, de creșterea prețurilor la energie electrică și gaze, precum și a celui la combustibili. Noua prognoză arată, pe de o parte, o dinamică accelerată a sectorului „Agricultură, silvicultură, pescuit” – marcat de o recoltă </w:t>
      </w:r>
      <w:r w:rsidR="00060521">
        <w:rPr>
          <w:rFonts w:eastAsia="Times New Roman" w:cs="Calibri"/>
          <w:sz w:val="24"/>
          <w:szCs w:val="24"/>
        </w:rPr>
        <w:t>foarte bună</w:t>
      </w:r>
      <w:r w:rsidRPr="00DC3035">
        <w:rPr>
          <w:rFonts w:eastAsia="Times New Roman" w:cs="Calibri"/>
          <w:sz w:val="24"/>
          <w:szCs w:val="24"/>
        </w:rPr>
        <w:t xml:space="preserve"> în acest an –</w:t>
      </w:r>
      <w:r w:rsidR="00060521">
        <w:rPr>
          <w:rFonts w:eastAsia="Times New Roman" w:cs="Calibri"/>
          <w:sz w:val="24"/>
          <w:szCs w:val="24"/>
        </w:rPr>
        <w:t xml:space="preserve"> </w:t>
      </w:r>
      <w:r w:rsidRPr="00DC3035">
        <w:rPr>
          <w:rFonts w:eastAsia="Times New Roman" w:cs="Calibri"/>
          <w:sz w:val="24"/>
          <w:szCs w:val="24"/>
        </w:rPr>
        <w:t xml:space="preserve">și o evoluție rapidă, similară celei prognozate anterior, a sectorului „Servicii” </w:t>
      </w:r>
      <w:r w:rsidR="005C141F">
        <w:rPr>
          <w:rFonts w:eastAsia="Times New Roman" w:cs="Calibri"/>
          <w:sz w:val="24"/>
          <w:szCs w:val="24"/>
        </w:rPr>
        <w:t>iar</w:t>
      </w:r>
      <w:r w:rsidRPr="00DC3035">
        <w:rPr>
          <w:rFonts w:eastAsia="Times New Roman" w:cs="Calibri"/>
          <w:sz w:val="24"/>
          <w:szCs w:val="24"/>
        </w:rPr>
        <w:t>, pe de altă parte, încetiniri ale dinamicii pentru „Industrie” și, în special</w:t>
      </w:r>
      <w:r w:rsidR="00766432">
        <w:rPr>
          <w:rFonts w:eastAsia="Times New Roman" w:cs="Calibri"/>
          <w:sz w:val="24"/>
          <w:szCs w:val="24"/>
        </w:rPr>
        <w:t>,</w:t>
      </w:r>
      <w:r w:rsidRPr="00DC3035">
        <w:rPr>
          <w:rFonts w:eastAsia="Times New Roman" w:cs="Calibri"/>
          <w:sz w:val="24"/>
          <w:szCs w:val="24"/>
        </w:rPr>
        <w:t xml:space="preserve"> pentru „Construcții”. </w:t>
      </w:r>
    </w:p>
    <w:p w14:paraId="2AB660C8" w14:textId="3E3CE6D9" w:rsidR="003034BF" w:rsidRDefault="00DC3035" w:rsidP="00DC3035">
      <w:pPr>
        <w:spacing w:after="200" w:line="276" w:lineRule="auto"/>
        <w:jc w:val="both"/>
        <w:rPr>
          <w:rFonts w:eastAsia="Times New Roman" w:cs="Calibri"/>
          <w:sz w:val="24"/>
          <w:szCs w:val="24"/>
        </w:rPr>
      </w:pPr>
      <w:r w:rsidRPr="00DC3035">
        <w:rPr>
          <w:rFonts w:eastAsia="Times New Roman" w:cs="Calibri"/>
          <w:sz w:val="24"/>
          <w:szCs w:val="24"/>
        </w:rPr>
        <w:t>Aceste evoluții corespund cu informațiile relevate de datele cu frecvență ridicată privind sectoare</w:t>
      </w:r>
      <w:r w:rsidR="003034BF">
        <w:rPr>
          <w:rFonts w:eastAsia="Times New Roman" w:cs="Calibri"/>
          <w:sz w:val="24"/>
          <w:szCs w:val="24"/>
        </w:rPr>
        <w:t>le menționate</w:t>
      </w:r>
      <w:r w:rsidRPr="00DC3035">
        <w:rPr>
          <w:rFonts w:eastAsia="Times New Roman" w:cs="Calibri"/>
          <w:sz w:val="24"/>
          <w:szCs w:val="24"/>
        </w:rPr>
        <w:t>, publicate recent de Institutul Național de Statistică (INS). Totuși, această translație parțială a centrului de greutate a</w:t>
      </w:r>
      <w:r w:rsidR="009C6CF8">
        <w:rPr>
          <w:rFonts w:eastAsia="Times New Roman" w:cs="Calibri"/>
          <w:sz w:val="24"/>
          <w:szCs w:val="24"/>
        </w:rPr>
        <w:t>l</w:t>
      </w:r>
      <w:r w:rsidRPr="00DC3035">
        <w:rPr>
          <w:rFonts w:eastAsia="Times New Roman" w:cs="Calibri"/>
          <w:sz w:val="24"/>
          <w:szCs w:val="24"/>
        </w:rPr>
        <w:t xml:space="preserve"> creșterii economice poate semnifica și o compoziție a PIB mai puțin generoasă în taxe și impozite, evoluția marcată de venituri fiscale suplimentare (</w:t>
      </w:r>
      <w:r w:rsidR="003034BF" w:rsidRPr="003034BF">
        <w:rPr>
          <w:rFonts w:eastAsia="Times New Roman" w:cs="Calibri"/>
          <w:sz w:val="24"/>
          <w:szCs w:val="24"/>
        </w:rPr>
        <w:t xml:space="preserve">inclusiv din plata unor impozite </w:t>
      </w:r>
      <w:r w:rsidR="00216141">
        <w:rPr>
          <w:rFonts w:eastAsia="Times New Roman" w:cs="Calibri"/>
          <w:sz w:val="24"/>
          <w:szCs w:val="24"/>
        </w:rPr>
        <w:t>ș</w:t>
      </w:r>
      <w:r w:rsidR="003034BF" w:rsidRPr="003034BF">
        <w:rPr>
          <w:rFonts w:eastAsia="Times New Roman" w:cs="Calibri"/>
          <w:sz w:val="24"/>
          <w:szCs w:val="24"/>
        </w:rPr>
        <w:t xml:space="preserve">i taxe </w:t>
      </w:r>
      <w:r w:rsidR="00216141" w:rsidRPr="003034BF">
        <w:rPr>
          <w:rFonts w:eastAsia="Times New Roman" w:cs="Calibri"/>
          <w:sz w:val="24"/>
          <w:szCs w:val="24"/>
        </w:rPr>
        <w:t>amânate</w:t>
      </w:r>
      <w:r w:rsidR="003034BF" w:rsidRPr="003034BF">
        <w:rPr>
          <w:rFonts w:eastAsia="Times New Roman" w:cs="Calibri"/>
          <w:sz w:val="24"/>
          <w:szCs w:val="24"/>
        </w:rPr>
        <w:t xml:space="preserve"> </w:t>
      </w:r>
      <w:r w:rsidR="00216141">
        <w:rPr>
          <w:rFonts w:eastAsia="Times New Roman" w:cs="Calibri"/>
          <w:sz w:val="24"/>
          <w:szCs w:val="24"/>
        </w:rPr>
        <w:t>î</w:t>
      </w:r>
      <w:r w:rsidR="003034BF" w:rsidRPr="003034BF">
        <w:rPr>
          <w:rFonts w:eastAsia="Times New Roman" w:cs="Calibri"/>
          <w:sz w:val="24"/>
          <w:szCs w:val="24"/>
        </w:rPr>
        <w:t>n 2020</w:t>
      </w:r>
      <w:r w:rsidRPr="00DC3035">
        <w:rPr>
          <w:rFonts w:eastAsia="Times New Roman" w:cs="Calibri"/>
          <w:sz w:val="24"/>
          <w:szCs w:val="24"/>
        </w:rPr>
        <w:t>), putând fi aproape de revenirea la o dinamică mai apropiată de evoluțiile istorice. Mai mult, datele „semnal” privind PIB, publicate de INS pe 16 noiembrie, arată, pe de o parte, că majorarea cumulată, reală, a PIB în primele trei trimestre din 2021</w:t>
      </w:r>
      <w:r w:rsidR="009A3D70">
        <w:rPr>
          <w:rFonts w:eastAsia="Times New Roman" w:cs="Calibri"/>
          <w:sz w:val="24"/>
          <w:szCs w:val="24"/>
        </w:rPr>
        <w:t xml:space="preserve"> de 7,2%</w:t>
      </w:r>
      <w:r w:rsidRPr="00DC3035">
        <w:rPr>
          <w:rFonts w:eastAsia="Times New Roman" w:cs="Calibri"/>
          <w:sz w:val="24"/>
          <w:szCs w:val="24"/>
        </w:rPr>
        <w:t xml:space="preserve">, față de </w:t>
      </w:r>
      <w:r w:rsidR="00FB7DAC">
        <w:rPr>
          <w:rFonts w:eastAsia="Times New Roman" w:cs="Calibri"/>
          <w:sz w:val="24"/>
          <w:szCs w:val="24"/>
        </w:rPr>
        <w:t xml:space="preserve">aceeași perioadă din </w:t>
      </w:r>
      <w:r w:rsidRPr="00DC3035">
        <w:rPr>
          <w:rFonts w:eastAsia="Times New Roman" w:cs="Calibri"/>
          <w:sz w:val="24"/>
          <w:szCs w:val="24"/>
        </w:rPr>
        <w:t>2020, este apropiată, deci, de prognoza anuală pentru acest indicator; pe de altă parte, datele de PIB revizuite indică o continuă decelerare a creșterii economice reale în ultimele trimestre</w:t>
      </w:r>
      <w:r w:rsidR="003034BF">
        <w:rPr>
          <w:rFonts w:eastAsia="Times New Roman" w:cs="Calibri"/>
          <w:sz w:val="24"/>
          <w:szCs w:val="24"/>
        </w:rPr>
        <w:t xml:space="preserve">. </w:t>
      </w:r>
      <w:r w:rsidR="003034BF">
        <w:rPr>
          <w:rFonts w:cs="Calibri"/>
          <w:sz w:val="24"/>
          <w:szCs w:val="24"/>
        </w:rPr>
        <w:t xml:space="preserve">Astfel, aceasta a fost </w:t>
      </w:r>
      <w:r w:rsidR="003034BF" w:rsidRPr="00D75FA6">
        <w:rPr>
          <w:rFonts w:cs="Calibri"/>
          <w:sz w:val="24"/>
          <w:szCs w:val="24"/>
        </w:rPr>
        <w:t>de +5,7% în T3 față de T2 2020</w:t>
      </w:r>
      <w:r w:rsidR="003034BF">
        <w:rPr>
          <w:rFonts w:cs="Calibri"/>
          <w:sz w:val="24"/>
          <w:szCs w:val="24"/>
        </w:rPr>
        <w:t xml:space="preserve"> </w:t>
      </w:r>
      <w:r w:rsidR="00611B53">
        <w:rPr>
          <w:rFonts w:cs="Calibri"/>
          <w:sz w:val="24"/>
          <w:szCs w:val="24"/>
        </w:rPr>
        <w:t>ș</w:t>
      </w:r>
      <w:r w:rsidR="003034BF">
        <w:rPr>
          <w:rFonts w:cs="Calibri"/>
          <w:sz w:val="24"/>
          <w:szCs w:val="24"/>
        </w:rPr>
        <w:t xml:space="preserve">i de </w:t>
      </w:r>
      <w:r w:rsidR="003034BF" w:rsidRPr="00D75FA6">
        <w:rPr>
          <w:rFonts w:cs="Calibri"/>
          <w:sz w:val="24"/>
          <w:szCs w:val="24"/>
        </w:rPr>
        <w:t xml:space="preserve">+0,3% </w:t>
      </w:r>
      <w:r w:rsidR="00611B53">
        <w:rPr>
          <w:rFonts w:cs="Calibri"/>
          <w:sz w:val="24"/>
          <w:szCs w:val="24"/>
        </w:rPr>
        <w:t>î</w:t>
      </w:r>
      <w:r w:rsidR="003034BF">
        <w:rPr>
          <w:rFonts w:cs="Calibri"/>
          <w:sz w:val="24"/>
          <w:szCs w:val="24"/>
        </w:rPr>
        <w:t xml:space="preserve">n </w:t>
      </w:r>
      <w:r w:rsidR="003034BF" w:rsidRPr="00D75FA6">
        <w:rPr>
          <w:rFonts w:cs="Calibri"/>
          <w:sz w:val="24"/>
          <w:szCs w:val="24"/>
        </w:rPr>
        <w:t>T3 față</w:t>
      </w:r>
      <w:r w:rsidR="00611B53">
        <w:rPr>
          <w:rFonts w:cs="Calibri"/>
          <w:sz w:val="24"/>
          <w:szCs w:val="24"/>
        </w:rPr>
        <w:t xml:space="preserve"> de</w:t>
      </w:r>
      <w:r w:rsidR="003034BF" w:rsidRPr="00D75FA6">
        <w:rPr>
          <w:rFonts w:cs="Calibri"/>
          <w:sz w:val="24"/>
          <w:szCs w:val="24"/>
        </w:rPr>
        <w:t xml:space="preserve"> T2 2021.</w:t>
      </w:r>
    </w:p>
    <w:p w14:paraId="24F42C83" w14:textId="7DF4F9B6" w:rsidR="00FA4B7A" w:rsidRDefault="00DC3035" w:rsidP="003034BF">
      <w:pPr>
        <w:spacing w:after="200" w:line="276" w:lineRule="auto"/>
        <w:jc w:val="both"/>
        <w:rPr>
          <w:rFonts w:eastAsia="Times New Roman" w:cs="Calibri"/>
          <w:sz w:val="24"/>
          <w:szCs w:val="24"/>
        </w:rPr>
      </w:pPr>
      <w:r w:rsidRPr="00DC3035">
        <w:rPr>
          <w:rFonts w:eastAsia="Times New Roman" w:cs="Calibri"/>
          <w:sz w:val="24"/>
          <w:szCs w:val="24"/>
        </w:rPr>
        <w:t xml:space="preserve">Dacă datele semnal aferente T3 2021 pentru dinamica (trimestru pe trimestru) recentă a PIB (+0,3%) sunt </w:t>
      </w:r>
      <w:r w:rsidR="00ED4140">
        <w:rPr>
          <w:rFonts w:eastAsia="Times New Roman" w:cs="Calibri"/>
          <w:sz w:val="24"/>
          <w:szCs w:val="24"/>
        </w:rPr>
        <w:t>corelate</w:t>
      </w:r>
      <w:r w:rsidRPr="00DC3035">
        <w:rPr>
          <w:rFonts w:eastAsia="Times New Roman" w:cs="Calibri"/>
          <w:sz w:val="24"/>
          <w:szCs w:val="24"/>
        </w:rPr>
        <w:t xml:space="preserve"> cu evoluția sectorului agricol putem trage concluzia că restul sectoarelor suferă o pierdere de ritm. </w:t>
      </w:r>
      <w:r w:rsidR="003034BF" w:rsidRPr="003034BF">
        <w:rPr>
          <w:rFonts w:eastAsia="Times New Roman" w:cs="Calibri"/>
          <w:sz w:val="24"/>
          <w:szCs w:val="24"/>
        </w:rPr>
        <w:t xml:space="preserve">Având în vedere că următoarele trimestre sunt marcate, datorită </w:t>
      </w:r>
      <w:r w:rsidR="00E3529D" w:rsidRPr="003034BF">
        <w:rPr>
          <w:rFonts w:eastAsia="Times New Roman" w:cs="Calibri"/>
          <w:sz w:val="24"/>
          <w:szCs w:val="24"/>
        </w:rPr>
        <w:t>sezonalității</w:t>
      </w:r>
      <w:r w:rsidR="003034BF" w:rsidRPr="003034BF">
        <w:rPr>
          <w:rFonts w:eastAsia="Times New Roman" w:cs="Calibri"/>
          <w:sz w:val="24"/>
          <w:szCs w:val="24"/>
        </w:rPr>
        <w:t xml:space="preserve"> producției agricole, de un aport mult mai redus al acestui sector la PIB, datele pe T4 și pentru începutul anului 2022 pot </w:t>
      </w:r>
      <w:r w:rsidR="00710E41">
        <w:rPr>
          <w:rFonts w:eastAsia="Times New Roman" w:cs="Calibri"/>
          <w:sz w:val="24"/>
          <w:szCs w:val="24"/>
        </w:rPr>
        <w:t xml:space="preserve">lămuri </w:t>
      </w:r>
      <w:r w:rsidR="00085343">
        <w:rPr>
          <w:rFonts w:eastAsia="Times New Roman" w:cs="Calibri"/>
          <w:sz w:val="24"/>
          <w:szCs w:val="24"/>
        </w:rPr>
        <w:t>geneza</w:t>
      </w:r>
      <w:r w:rsidR="003034BF" w:rsidRPr="003034BF">
        <w:rPr>
          <w:rFonts w:eastAsia="Times New Roman" w:cs="Calibri"/>
          <w:sz w:val="24"/>
          <w:szCs w:val="24"/>
        </w:rPr>
        <w:t xml:space="preserve"> acestei sincope în evoluția sectoarelor </w:t>
      </w:r>
      <w:r w:rsidR="008E1FA3">
        <w:rPr>
          <w:rFonts w:eastAsia="Times New Roman" w:cs="Calibri"/>
          <w:sz w:val="24"/>
          <w:szCs w:val="24"/>
        </w:rPr>
        <w:t xml:space="preserve">            </w:t>
      </w:r>
      <w:r w:rsidR="003034BF" w:rsidRPr="003034BF">
        <w:rPr>
          <w:rFonts w:eastAsia="Times New Roman" w:cs="Calibri"/>
          <w:sz w:val="24"/>
          <w:szCs w:val="24"/>
        </w:rPr>
        <w:t xml:space="preserve">non-agricole. Toate aceste informații, deși validează </w:t>
      </w:r>
      <w:r w:rsidR="00E3529D" w:rsidRPr="003034BF">
        <w:rPr>
          <w:rFonts w:eastAsia="Times New Roman" w:cs="Calibri"/>
          <w:sz w:val="24"/>
          <w:szCs w:val="24"/>
        </w:rPr>
        <w:t>parțial</w:t>
      </w:r>
      <w:r w:rsidR="003034BF" w:rsidRPr="003034BF">
        <w:rPr>
          <w:rFonts w:eastAsia="Times New Roman" w:cs="Calibri"/>
          <w:sz w:val="24"/>
          <w:szCs w:val="24"/>
        </w:rPr>
        <w:t xml:space="preserve"> prognoza de creștere economică pentru 2021, arată că incertitudinea privind evoluțiile agregatelor macroeconomice viitoare crește și, odată cu ea, și incertitudinea privind menținerea veniturilor bugetare pe trendul de creștere rapidă din ultimul timp.</w:t>
      </w:r>
    </w:p>
    <w:p w14:paraId="3D77810D" w14:textId="3A9ABDEF" w:rsidR="00FA4B7A" w:rsidRPr="003034BF" w:rsidRDefault="003034BF" w:rsidP="003034BF">
      <w:pPr>
        <w:spacing w:after="200" w:line="276" w:lineRule="auto"/>
        <w:jc w:val="both"/>
        <w:rPr>
          <w:rFonts w:eastAsia="Times New Roman" w:cs="Calibri"/>
          <w:sz w:val="24"/>
          <w:szCs w:val="24"/>
        </w:rPr>
      </w:pPr>
      <w:r w:rsidRPr="003034BF">
        <w:rPr>
          <w:rFonts w:eastAsia="Times New Roman" w:cs="Calibri"/>
          <w:sz w:val="24"/>
          <w:szCs w:val="24"/>
        </w:rPr>
        <w:lastRenderedPageBreak/>
        <w:t>Este clar c</w:t>
      </w:r>
      <w:r w:rsidR="00E3529D">
        <w:rPr>
          <w:rFonts w:eastAsia="Times New Roman" w:cs="Calibri"/>
          <w:sz w:val="24"/>
          <w:szCs w:val="24"/>
        </w:rPr>
        <w:t>ă</w:t>
      </w:r>
      <w:r w:rsidRPr="003034BF">
        <w:rPr>
          <w:rFonts w:eastAsia="Times New Roman" w:cs="Calibri"/>
          <w:sz w:val="24"/>
          <w:szCs w:val="24"/>
        </w:rPr>
        <w:t xml:space="preserve"> revenirea economic</w:t>
      </w:r>
      <w:r w:rsidR="00E3529D">
        <w:rPr>
          <w:rFonts w:eastAsia="Times New Roman" w:cs="Calibri"/>
          <w:sz w:val="24"/>
          <w:szCs w:val="24"/>
        </w:rPr>
        <w:t>ă</w:t>
      </w:r>
      <w:r w:rsidRPr="003034BF">
        <w:rPr>
          <w:rFonts w:eastAsia="Times New Roman" w:cs="Calibri"/>
          <w:sz w:val="24"/>
          <w:szCs w:val="24"/>
        </w:rPr>
        <w:t xml:space="preserve"> </w:t>
      </w:r>
      <w:r w:rsidR="005245EE">
        <w:rPr>
          <w:rFonts w:eastAsia="Times New Roman" w:cs="Calibri"/>
          <w:sz w:val="24"/>
          <w:szCs w:val="24"/>
        </w:rPr>
        <w:t xml:space="preserve">din 2021 </w:t>
      </w:r>
      <w:r w:rsidRPr="003034BF">
        <w:rPr>
          <w:rFonts w:eastAsia="Times New Roman" w:cs="Calibri"/>
          <w:sz w:val="24"/>
          <w:szCs w:val="24"/>
        </w:rPr>
        <w:t>nu este repetabil</w:t>
      </w:r>
      <w:r w:rsidR="00E3529D">
        <w:rPr>
          <w:rFonts w:eastAsia="Times New Roman" w:cs="Calibri"/>
          <w:sz w:val="24"/>
          <w:szCs w:val="24"/>
        </w:rPr>
        <w:t>ă</w:t>
      </w:r>
      <w:r w:rsidRPr="003034BF">
        <w:rPr>
          <w:rFonts w:eastAsia="Times New Roman" w:cs="Calibri"/>
          <w:sz w:val="24"/>
          <w:szCs w:val="24"/>
        </w:rPr>
        <w:t xml:space="preserve"> ca </w:t>
      </w:r>
      <w:r w:rsidR="00E3529D">
        <w:rPr>
          <w:rFonts w:eastAsia="Times New Roman" w:cs="Calibri"/>
          <w:sz w:val="24"/>
          <w:szCs w:val="24"/>
        </w:rPr>
        <w:t>ritm</w:t>
      </w:r>
      <w:r w:rsidRPr="003034BF">
        <w:rPr>
          <w:rFonts w:eastAsia="Times New Roman" w:cs="Calibri"/>
          <w:sz w:val="24"/>
          <w:szCs w:val="24"/>
        </w:rPr>
        <w:t xml:space="preserve"> de </w:t>
      </w:r>
      <w:r w:rsidR="00E3529D" w:rsidRPr="003034BF">
        <w:rPr>
          <w:rFonts w:eastAsia="Times New Roman" w:cs="Calibri"/>
          <w:sz w:val="24"/>
          <w:szCs w:val="24"/>
        </w:rPr>
        <w:t>creștere</w:t>
      </w:r>
      <w:r w:rsidRPr="003034BF">
        <w:rPr>
          <w:rFonts w:eastAsia="Times New Roman" w:cs="Calibri"/>
          <w:sz w:val="24"/>
          <w:szCs w:val="24"/>
        </w:rPr>
        <w:t xml:space="preserve"> a PIB </w:t>
      </w:r>
      <w:r w:rsidR="00E3529D">
        <w:rPr>
          <w:rFonts w:eastAsia="Times New Roman" w:cs="Calibri"/>
          <w:sz w:val="24"/>
          <w:szCs w:val="24"/>
        </w:rPr>
        <w:t>î</w:t>
      </w:r>
      <w:r w:rsidRPr="003034BF">
        <w:rPr>
          <w:rFonts w:eastAsia="Times New Roman" w:cs="Calibri"/>
          <w:sz w:val="24"/>
          <w:szCs w:val="24"/>
        </w:rPr>
        <w:t>n anii ce vin.</w:t>
      </w:r>
    </w:p>
    <w:p w14:paraId="5D2AF1CE" w14:textId="7F4BDB97" w:rsidR="00DC3035" w:rsidRPr="00DC3035" w:rsidRDefault="00DC3035" w:rsidP="00DC3035">
      <w:pPr>
        <w:spacing w:after="200" w:line="276" w:lineRule="auto"/>
        <w:jc w:val="both"/>
        <w:rPr>
          <w:rFonts w:eastAsia="Times New Roman" w:cs="Calibri"/>
          <w:sz w:val="24"/>
          <w:szCs w:val="24"/>
        </w:rPr>
      </w:pPr>
      <w:r w:rsidRPr="00DC3035">
        <w:rPr>
          <w:rFonts w:eastAsia="Times New Roman" w:cs="Calibri"/>
          <w:sz w:val="24"/>
          <w:szCs w:val="24"/>
        </w:rPr>
        <w:t xml:space="preserve">Coordonatele pieței muncii – componentă determinantă a evoluției veniturilor bugetare, în special în ceea ce privește impozitul pe salarii dar și contribuțiile sociale – au fost și ele revizuite în cadrul ultimei prognoze a CNSP. </w:t>
      </w:r>
      <w:r w:rsidR="00833906">
        <w:rPr>
          <w:rFonts w:eastAsia="Times New Roman" w:cs="Calibri"/>
          <w:sz w:val="24"/>
          <w:szCs w:val="24"/>
        </w:rPr>
        <w:t>Potrivit acesteia, n</w:t>
      </w:r>
      <w:r w:rsidRPr="00DC3035">
        <w:rPr>
          <w:rFonts w:eastAsia="Times New Roman" w:cs="Calibri"/>
          <w:sz w:val="24"/>
          <w:szCs w:val="24"/>
        </w:rPr>
        <w:t xml:space="preserve">umărul mediu de salariați este proiectat să crească în 2021 tot cu 1,4%, urmând însă o dinamică mai lentă în 2022 (+2,0% față de </w:t>
      </w:r>
      <w:r w:rsidR="00AC7143">
        <w:rPr>
          <w:rFonts w:eastAsia="Times New Roman" w:cs="Calibri"/>
          <w:sz w:val="24"/>
          <w:szCs w:val="24"/>
        </w:rPr>
        <w:t>+</w:t>
      </w:r>
      <w:r w:rsidRPr="00DC3035">
        <w:rPr>
          <w:rFonts w:eastAsia="Times New Roman" w:cs="Calibri"/>
          <w:sz w:val="24"/>
          <w:szCs w:val="24"/>
        </w:rPr>
        <w:t xml:space="preserve">2,3% anterior). Dinamica câștigurilor salariale medii brute este mai accelerată atât în 2021 în ultima proiecție (+7,6% de la </w:t>
      </w:r>
      <w:r w:rsidR="00AC7143">
        <w:rPr>
          <w:rFonts w:eastAsia="Times New Roman" w:cs="Calibri"/>
          <w:sz w:val="24"/>
          <w:szCs w:val="24"/>
        </w:rPr>
        <w:t>+</w:t>
      </w:r>
      <w:r w:rsidRPr="00DC3035">
        <w:rPr>
          <w:rFonts w:eastAsia="Times New Roman" w:cs="Calibri"/>
          <w:sz w:val="24"/>
          <w:szCs w:val="24"/>
        </w:rPr>
        <w:t>6,9% anterior)</w:t>
      </w:r>
      <w:r w:rsidR="00417A89">
        <w:rPr>
          <w:rFonts w:eastAsia="Times New Roman" w:cs="Calibri"/>
          <w:sz w:val="24"/>
          <w:szCs w:val="24"/>
        </w:rPr>
        <w:t xml:space="preserve">, </w:t>
      </w:r>
      <w:r w:rsidRPr="00DC3035">
        <w:rPr>
          <w:rFonts w:eastAsia="Times New Roman" w:cs="Calibri"/>
          <w:sz w:val="24"/>
          <w:szCs w:val="24"/>
        </w:rPr>
        <w:t xml:space="preserve">cât și în 2022 (+8,7% de la </w:t>
      </w:r>
      <w:r w:rsidR="00A03D63">
        <w:rPr>
          <w:rFonts w:eastAsia="Times New Roman" w:cs="Calibri"/>
          <w:sz w:val="24"/>
          <w:szCs w:val="24"/>
        </w:rPr>
        <w:t>+</w:t>
      </w:r>
      <w:r w:rsidRPr="00DC3035">
        <w:rPr>
          <w:rFonts w:eastAsia="Times New Roman" w:cs="Calibri"/>
          <w:sz w:val="24"/>
          <w:szCs w:val="24"/>
        </w:rPr>
        <w:t>6,7% anterior). Evoluția din 2021 va avea un efect direct asupra execuției bugetare din acest an, iar cea proiectată pentru 2022, în măsura în care reflectă așteptările gospodăriilor și firmelor și, implicit, deciziile acestora, influențează inclusiv evoluția curentă a economiei. Prognoza privind rata șomajului este modificată marginal în 2021 (șomajul înregistrat plasându-se la 3%, față de 3,3% în anterioara proiecție, iar șomajul calculat conform metodologiei Biroului Internațional al Muncii este de 5,3%, față de 4,8% anterior). Aceste date indică o proiecție plauzibilă a agregatelor pieței muncii, marcată doar de o ușoară supraestimare a dinamicilor relevante.</w:t>
      </w:r>
    </w:p>
    <w:p w14:paraId="4EDCAAE7" w14:textId="77777777" w:rsidR="00F7568E" w:rsidRPr="00D75FA6" w:rsidRDefault="00F7568E" w:rsidP="00D75FA6">
      <w:pPr>
        <w:spacing w:after="200" w:line="276" w:lineRule="auto"/>
        <w:jc w:val="both"/>
        <w:rPr>
          <w:rFonts w:cs="Calibri"/>
          <w:sz w:val="24"/>
          <w:szCs w:val="24"/>
        </w:rPr>
      </w:pPr>
    </w:p>
    <w:p w14:paraId="02954D8B" w14:textId="77777777" w:rsidR="00B004EB" w:rsidRPr="00D75FA6" w:rsidRDefault="00B004EB" w:rsidP="00D75FA6">
      <w:pPr>
        <w:spacing w:after="200" w:line="276" w:lineRule="auto"/>
        <w:jc w:val="both"/>
        <w:rPr>
          <w:rFonts w:cs="Calibri"/>
          <w:b/>
          <w:i/>
          <w:sz w:val="26"/>
          <w:szCs w:val="26"/>
        </w:rPr>
      </w:pPr>
      <w:r w:rsidRPr="00D75FA6">
        <w:rPr>
          <w:rFonts w:cs="Calibri"/>
          <w:b/>
          <w:i/>
          <w:sz w:val="26"/>
          <w:szCs w:val="26"/>
        </w:rPr>
        <w:t>Coordonatele actualizate ale veniturilor și cheltuielilor bugetare</w:t>
      </w:r>
    </w:p>
    <w:p w14:paraId="2072C2EE" w14:textId="77777777" w:rsidR="00E43A51" w:rsidRDefault="00D75FA6" w:rsidP="00D75FA6">
      <w:pPr>
        <w:spacing w:after="200" w:line="276" w:lineRule="auto"/>
        <w:jc w:val="both"/>
        <w:rPr>
          <w:rFonts w:eastAsia="Times New Roman"/>
        </w:rPr>
      </w:pPr>
      <w:r w:rsidRPr="00D75FA6">
        <w:rPr>
          <w:rFonts w:eastAsia="Times New Roman" w:cs="Calibri"/>
          <w:sz w:val="24"/>
          <w:szCs w:val="24"/>
        </w:rPr>
        <w:t>Comparativ cu parametrii bugetari aprobați anterior, proiectul celei de</w:t>
      </w:r>
      <w:r w:rsidR="00E747AB">
        <w:rPr>
          <w:rFonts w:eastAsia="Times New Roman" w:cs="Calibri"/>
          <w:sz w:val="24"/>
          <w:szCs w:val="24"/>
        </w:rPr>
        <w:t xml:space="preserve"> </w:t>
      </w:r>
      <w:r w:rsidRPr="00D75FA6">
        <w:rPr>
          <w:rFonts w:eastAsia="Times New Roman" w:cs="Calibri"/>
          <w:sz w:val="24"/>
          <w:szCs w:val="24"/>
        </w:rPr>
        <w:t xml:space="preserve">a doua rectificări bugetare include o nouă majorare atât a veniturilor totale ale BGC (+4,4 mld. lei), cât și a cheltuielilor bugetare totale (+5,52 mld. lei), deficitul bugetar situându-se cu 1,1 mld. lei peste </w:t>
      </w:r>
      <w:r w:rsidR="003034BF">
        <w:rPr>
          <w:rFonts w:eastAsia="Times New Roman" w:cs="Calibri"/>
          <w:sz w:val="24"/>
          <w:szCs w:val="24"/>
        </w:rPr>
        <w:t xml:space="preserve">proiecția </w:t>
      </w:r>
      <w:r w:rsidRPr="00D75FA6">
        <w:rPr>
          <w:rFonts w:eastAsia="Times New Roman" w:cs="Calibri"/>
          <w:sz w:val="24"/>
          <w:szCs w:val="24"/>
        </w:rPr>
        <w:t>anterioară. Exprimat ca procent în PIB, nivelul prognozat al deficitului bugetar este menținut la 7,13% din PIB pe fondul majorării proiecției PIB nominal cu 15,4 mld. lei.</w:t>
      </w:r>
      <w:r w:rsidRPr="00D75FA6">
        <w:rPr>
          <w:rFonts w:eastAsia="Times New Roman"/>
        </w:rPr>
        <w:t xml:space="preserve"> </w:t>
      </w:r>
    </w:p>
    <w:p w14:paraId="34CC7702" w14:textId="7F5B95F6" w:rsidR="00D75FA6" w:rsidRPr="00D75FA6" w:rsidRDefault="003034BF" w:rsidP="00D75FA6">
      <w:pPr>
        <w:spacing w:after="200" w:line="276" w:lineRule="auto"/>
        <w:jc w:val="both"/>
        <w:rPr>
          <w:rFonts w:eastAsia="Times New Roman" w:cs="Calibri"/>
          <w:sz w:val="24"/>
          <w:szCs w:val="24"/>
        </w:rPr>
      </w:pPr>
      <w:r w:rsidRPr="003034BF">
        <w:rPr>
          <w:rFonts w:eastAsia="Times New Roman" w:cs="Calibri"/>
          <w:sz w:val="24"/>
          <w:szCs w:val="24"/>
        </w:rPr>
        <w:t>C</w:t>
      </w:r>
      <w:r w:rsidR="00C2393D">
        <w:rPr>
          <w:rFonts w:eastAsia="Times New Roman" w:cs="Calibri"/>
          <w:sz w:val="24"/>
          <w:szCs w:val="24"/>
        </w:rPr>
        <w:t>onsiliul Fiscal</w:t>
      </w:r>
      <w:r w:rsidRPr="003034BF">
        <w:rPr>
          <w:rFonts w:eastAsia="Times New Roman" w:cs="Calibri"/>
          <w:sz w:val="24"/>
          <w:szCs w:val="24"/>
        </w:rPr>
        <w:t xml:space="preserve"> </w:t>
      </w:r>
      <w:r>
        <w:rPr>
          <w:rFonts w:eastAsia="Times New Roman" w:cs="Calibri"/>
          <w:sz w:val="24"/>
          <w:szCs w:val="24"/>
        </w:rPr>
        <w:t>îș</w:t>
      </w:r>
      <w:r w:rsidRPr="003034BF">
        <w:rPr>
          <w:rFonts w:eastAsia="Times New Roman" w:cs="Calibri"/>
          <w:sz w:val="24"/>
          <w:szCs w:val="24"/>
        </w:rPr>
        <w:t>i men</w:t>
      </w:r>
      <w:r>
        <w:rPr>
          <w:rFonts w:eastAsia="Times New Roman" w:cs="Calibri"/>
          <w:sz w:val="24"/>
          <w:szCs w:val="24"/>
        </w:rPr>
        <w:t>ț</w:t>
      </w:r>
      <w:r w:rsidRPr="003034BF">
        <w:rPr>
          <w:rFonts w:eastAsia="Times New Roman" w:cs="Calibri"/>
          <w:sz w:val="24"/>
          <w:szCs w:val="24"/>
        </w:rPr>
        <w:t>ine aprec</w:t>
      </w:r>
      <w:r>
        <w:rPr>
          <w:rFonts w:eastAsia="Times New Roman" w:cs="Calibri"/>
          <w:sz w:val="24"/>
          <w:szCs w:val="24"/>
        </w:rPr>
        <w:t>i</w:t>
      </w:r>
      <w:r w:rsidRPr="003034BF">
        <w:rPr>
          <w:rFonts w:eastAsia="Times New Roman" w:cs="Calibri"/>
          <w:sz w:val="24"/>
          <w:szCs w:val="24"/>
        </w:rPr>
        <w:t>erea c</w:t>
      </w:r>
      <w:r>
        <w:rPr>
          <w:rFonts w:eastAsia="Times New Roman" w:cs="Calibri"/>
          <w:sz w:val="24"/>
          <w:szCs w:val="24"/>
        </w:rPr>
        <w:t>ă</w:t>
      </w:r>
      <w:r w:rsidRPr="003034BF">
        <w:rPr>
          <w:rFonts w:eastAsia="Times New Roman" w:cs="Calibri"/>
          <w:sz w:val="24"/>
          <w:szCs w:val="24"/>
        </w:rPr>
        <w:t xml:space="preserve"> </w:t>
      </w:r>
      <w:r>
        <w:rPr>
          <w:rFonts w:eastAsia="Times New Roman" w:cs="Calibri"/>
          <w:sz w:val="24"/>
          <w:szCs w:val="24"/>
        </w:rPr>
        <w:t>î</w:t>
      </w:r>
      <w:r w:rsidRPr="003034BF">
        <w:rPr>
          <w:rFonts w:eastAsia="Times New Roman" w:cs="Calibri"/>
          <w:sz w:val="24"/>
          <w:szCs w:val="24"/>
        </w:rPr>
        <w:t>ntr-un an cu cre</w:t>
      </w:r>
      <w:r>
        <w:rPr>
          <w:rFonts w:eastAsia="Times New Roman" w:cs="Calibri"/>
          <w:sz w:val="24"/>
          <w:szCs w:val="24"/>
        </w:rPr>
        <w:t>ș</w:t>
      </w:r>
      <w:r w:rsidRPr="003034BF">
        <w:rPr>
          <w:rFonts w:eastAsia="Times New Roman" w:cs="Calibri"/>
          <w:sz w:val="24"/>
          <w:szCs w:val="24"/>
        </w:rPr>
        <w:t>tere at</w:t>
      </w:r>
      <w:r>
        <w:rPr>
          <w:rFonts w:eastAsia="Times New Roman" w:cs="Calibri"/>
          <w:sz w:val="24"/>
          <w:szCs w:val="24"/>
        </w:rPr>
        <w:t>ât</w:t>
      </w:r>
      <w:r w:rsidRPr="003034BF">
        <w:rPr>
          <w:rFonts w:eastAsia="Times New Roman" w:cs="Calibri"/>
          <w:sz w:val="24"/>
          <w:szCs w:val="24"/>
        </w:rPr>
        <w:t xml:space="preserve"> de pronun</w:t>
      </w:r>
      <w:r>
        <w:rPr>
          <w:rFonts w:eastAsia="Times New Roman" w:cs="Calibri"/>
          <w:sz w:val="24"/>
          <w:szCs w:val="24"/>
        </w:rPr>
        <w:t>ț</w:t>
      </w:r>
      <w:r w:rsidRPr="003034BF">
        <w:rPr>
          <w:rFonts w:eastAsia="Times New Roman" w:cs="Calibri"/>
          <w:sz w:val="24"/>
          <w:szCs w:val="24"/>
        </w:rPr>
        <w:t>at</w:t>
      </w:r>
      <w:r>
        <w:rPr>
          <w:rFonts w:eastAsia="Times New Roman" w:cs="Calibri"/>
          <w:sz w:val="24"/>
          <w:szCs w:val="24"/>
        </w:rPr>
        <w:t>ă</w:t>
      </w:r>
      <w:r w:rsidRPr="003034BF">
        <w:rPr>
          <w:rFonts w:eastAsia="Times New Roman" w:cs="Calibri"/>
          <w:sz w:val="24"/>
          <w:szCs w:val="24"/>
        </w:rPr>
        <w:t xml:space="preserve"> a veniturilor bugetare, ar fi trebuit s</w:t>
      </w:r>
      <w:r>
        <w:rPr>
          <w:rFonts w:eastAsia="Times New Roman" w:cs="Calibri"/>
          <w:sz w:val="24"/>
          <w:szCs w:val="24"/>
        </w:rPr>
        <w:t>ă</w:t>
      </w:r>
      <w:r w:rsidRPr="003034BF">
        <w:rPr>
          <w:rFonts w:eastAsia="Times New Roman" w:cs="Calibri"/>
          <w:sz w:val="24"/>
          <w:szCs w:val="24"/>
        </w:rPr>
        <w:t xml:space="preserve"> nu creasc</w:t>
      </w:r>
      <w:r>
        <w:rPr>
          <w:rFonts w:eastAsia="Times New Roman" w:cs="Calibri"/>
          <w:sz w:val="24"/>
          <w:szCs w:val="24"/>
        </w:rPr>
        <w:t>ă</w:t>
      </w:r>
      <w:r w:rsidRPr="003034BF">
        <w:rPr>
          <w:rFonts w:eastAsia="Times New Roman" w:cs="Calibri"/>
          <w:sz w:val="24"/>
          <w:szCs w:val="24"/>
        </w:rPr>
        <w:t xml:space="preserve"> deficitul bugetar </w:t>
      </w:r>
      <w:r>
        <w:rPr>
          <w:rFonts w:eastAsia="Times New Roman" w:cs="Calibri"/>
          <w:sz w:val="24"/>
          <w:szCs w:val="24"/>
        </w:rPr>
        <w:t>î</w:t>
      </w:r>
      <w:r w:rsidRPr="003034BF">
        <w:rPr>
          <w:rFonts w:eastAsia="Times New Roman" w:cs="Calibri"/>
          <w:sz w:val="24"/>
          <w:szCs w:val="24"/>
        </w:rPr>
        <w:t>n valoare absolut</w:t>
      </w:r>
      <w:r>
        <w:rPr>
          <w:rFonts w:eastAsia="Times New Roman" w:cs="Calibri"/>
          <w:sz w:val="24"/>
          <w:szCs w:val="24"/>
        </w:rPr>
        <w:t>ă</w:t>
      </w:r>
      <w:r w:rsidRPr="003034BF">
        <w:rPr>
          <w:rFonts w:eastAsia="Times New Roman" w:cs="Calibri"/>
          <w:sz w:val="24"/>
          <w:szCs w:val="24"/>
        </w:rPr>
        <w:t>, chiar dac</w:t>
      </w:r>
      <w:r>
        <w:rPr>
          <w:rFonts w:eastAsia="Times New Roman" w:cs="Calibri"/>
          <w:sz w:val="24"/>
          <w:szCs w:val="24"/>
        </w:rPr>
        <w:t>ă</w:t>
      </w:r>
      <w:r w:rsidRPr="003034BF">
        <w:rPr>
          <w:rFonts w:eastAsia="Times New Roman" w:cs="Calibri"/>
          <w:sz w:val="24"/>
          <w:szCs w:val="24"/>
        </w:rPr>
        <w:t xml:space="preserve"> au fost necesare cheltuieli suplimentare pentru lupta contra pandemiei </w:t>
      </w:r>
      <w:r w:rsidR="00FF1A13">
        <w:rPr>
          <w:rFonts w:eastAsia="Times New Roman" w:cs="Calibri"/>
          <w:sz w:val="24"/>
          <w:szCs w:val="24"/>
        </w:rPr>
        <w:t>COVID</w:t>
      </w:r>
      <w:r w:rsidRPr="003034BF">
        <w:rPr>
          <w:rFonts w:eastAsia="Times New Roman" w:cs="Calibri"/>
          <w:sz w:val="24"/>
          <w:szCs w:val="24"/>
        </w:rPr>
        <w:t>-19</w:t>
      </w:r>
      <w:r w:rsidR="0088277F">
        <w:rPr>
          <w:rFonts w:eastAsia="Times New Roman" w:cs="Calibri"/>
          <w:sz w:val="24"/>
          <w:szCs w:val="24"/>
        </w:rPr>
        <w:t xml:space="preserve"> și</w:t>
      </w:r>
      <w:r w:rsidR="00CC621E">
        <w:rPr>
          <w:rFonts w:eastAsia="Times New Roman" w:cs="Calibri"/>
          <w:sz w:val="24"/>
          <w:szCs w:val="24"/>
        </w:rPr>
        <w:t>,</w:t>
      </w:r>
      <w:r w:rsidR="0088277F">
        <w:rPr>
          <w:rFonts w:eastAsia="Times New Roman" w:cs="Calibri"/>
          <w:sz w:val="24"/>
          <w:szCs w:val="24"/>
        </w:rPr>
        <w:t xml:space="preserve"> </w:t>
      </w:r>
      <w:r w:rsidR="00CC621E">
        <w:rPr>
          <w:rFonts w:eastAsia="Times New Roman" w:cs="Calibri"/>
          <w:sz w:val="24"/>
          <w:szCs w:val="24"/>
        </w:rPr>
        <w:t>respectiv,</w:t>
      </w:r>
      <w:r w:rsidR="0088277F">
        <w:rPr>
          <w:rFonts w:eastAsia="Times New Roman" w:cs="Calibri"/>
          <w:sz w:val="24"/>
          <w:szCs w:val="24"/>
        </w:rPr>
        <w:t xml:space="preserve"> reclamate de criza energetică.</w:t>
      </w:r>
    </w:p>
    <w:p w14:paraId="106CFAE9" w14:textId="65C0E2C8" w:rsidR="003034BF" w:rsidRPr="003034BF" w:rsidRDefault="00D75FA6" w:rsidP="003034BF">
      <w:pPr>
        <w:spacing w:after="200" w:line="276" w:lineRule="auto"/>
        <w:jc w:val="both"/>
        <w:rPr>
          <w:rFonts w:eastAsia="Times New Roman" w:cs="Calibri"/>
          <w:sz w:val="24"/>
          <w:szCs w:val="24"/>
        </w:rPr>
      </w:pPr>
      <w:r w:rsidRPr="00D75FA6">
        <w:rPr>
          <w:rFonts w:eastAsia="Times New Roman" w:cs="Calibri"/>
          <w:sz w:val="24"/>
          <w:szCs w:val="24"/>
        </w:rPr>
        <w:t xml:space="preserve">Pe categorii de venituri bugetare, revizuiri pozitive ale estimărilor inițiale survin la </w:t>
      </w:r>
      <w:r w:rsidR="003076DC">
        <w:rPr>
          <w:rFonts w:eastAsia="Times New Roman" w:cs="Calibri"/>
          <w:sz w:val="24"/>
          <w:szCs w:val="24"/>
        </w:rPr>
        <w:t xml:space="preserve">                         </w:t>
      </w:r>
      <w:r w:rsidRPr="00D75FA6">
        <w:rPr>
          <w:rFonts w:eastAsia="Times New Roman" w:cs="Calibri"/>
          <w:sz w:val="24"/>
          <w:szCs w:val="24"/>
        </w:rPr>
        <w:t xml:space="preserve">cvasi-totalitatea veniturilor dependente de </w:t>
      </w:r>
      <w:r w:rsidR="00F7568E">
        <w:rPr>
          <w:rFonts w:eastAsia="Times New Roman" w:cs="Calibri"/>
          <w:sz w:val="24"/>
          <w:szCs w:val="24"/>
        </w:rPr>
        <w:t xml:space="preserve">dinamica </w:t>
      </w:r>
      <w:r w:rsidRPr="00D75FA6">
        <w:rPr>
          <w:rFonts w:eastAsia="Times New Roman" w:cs="Calibri"/>
          <w:sz w:val="24"/>
          <w:szCs w:val="24"/>
        </w:rPr>
        <w:t>PIB nominal, evoluții de sens contrar înregistrându-se în cazul sumelor provenind din fonduri europene și a</w:t>
      </w:r>
      <w:r w:rsidR="003B73E1">
        <w:rPr>
          <w:rFonts w:eastAsia="Times New Roman" w:cs="Calibri"/>
          <w:sz w:val="24"/>
          <w:szCs w:val="24"/>
        </w:rPr>
        <w:t>l</w:t>
      </w:r>
      <w:r w:rsidRPr="00D75FA6">
        <w:rPr>
          <w:rFonts w:eastAsia="Times New Roman" w:cs="Calibri"/>
          <w:sz w:val="24"/>
          <w:szCs w:val="24"/>
        </w:rPr>
        <w:t xml:space="preserve"> celor având drept sursă închirierea benzilor de frecvență 5G. În esență, revizuirea în sus a veniturilor bugetare poate fi atribuită </w:t>
      </w:r>
      <w:r w:rsidR="007626AD">
        <w:rPr>
          <w:rFonts w:eastAsia="Times New Roman" w:cs="Calibri"/>
          <w:sz w:val="24"/>
          <w:szCs w:val="24"/>
        </w:rPr>
        <w:t>majorării</w:t>
      </w:r>
      <w:r w:rsidRPr="00D75FA6">
        <w:rPr>
          <w:rFonts w:eastAsia="Times New Roman" w:cs="Calibri"/>
          <w:sz w:val="24"/>
          <w:szCs w:val="24"/>
        </w:rPr>
        <w:t xml:space="preserve"> </w:t>
      </w:r>
      <w:r w:rsidR="003034BF">
        <w:rPr>
          <w:rFonts w:eastAsia="Times New Roman" w:cs="Calibri"/>
          <w:sz w:val="24"/>
          <w:szCs w:val="24"/>
        </w:rPr>
        <w:t xml:space="preserve">considerabil </w:t>
      </w:r>
      <w:r w:rsidRPr="00D75FA6">
        <w:rPr>
          <w:rFonts w:eastAsia="Times New Roman" w:cs="Calibri"/>
          <w:sz w:val="24"/>
          <w:szCs w:val="24"/>
        </w:rPr>
        <w:t xml:space="preserve">peste </w:t>
      </w:r>
      <w:r w:rsidR="003034BF">
        <w:rPr>
          <w:rFonts w:cs="Calibri"/>
          <w:sz w:val="24"/>
          <w:szCs w:val="24"/>
        </w:rPr>
        <w:t xml:space="preserve">prognoza </w:t>
      </w:r>
      <w:r w:rsidR="00E747AB">
        <w:rPr>
          <w:rFonts w:cs="Calibri"/>
          <w:sz w:val="24"/>
          <w:szCs w:val="24"/>
        </w:rPr>
        <w:t>inițială</w:t>
      </w:r>
      <w:r w:rsidR="003034BF">
        <w:rPr>
          <w:rFonts w:cs="Calibri"/>
          <w:sz w:val="24"/>
          <w:szCs w:val="24"/>
        </w:rPr>
        <w:t xml:space="preserve"> a PIB, </w:t>
      </w:r>
      <w:r w:rsidR="003034BF" w:rsidRPr="00D75FA6">
        <w:rPr>
          <w:rFonts w:eastAsia="Times New Roman" w:cs="Calibri"/>
          <w:sz w:val="24"/>
          <w:szCs w:val="24"/>
        </w:rPr>
        <w:t xml:space="preserve"> </w:t>
      </w:r>
      <w:r w:rsidR="003034BF" w:rsidRPr="003034BF">
        <w:rPr>
          <w:rFonts w:eastAsia="Times New Roman" w:cs="Calibri"/>
          <w:sz w:val="24"/>
          <w:szCs w:val="24"/>
        </w:rPr>
        <w:t>creșterii peste așteptări a prețurilor la nivelul întregii economii (</w:t>
      </w:r>
      <w:r w:rsidR="00E747AB" w:rsidRPr="003034BF">
        <w:rPr>
          <w:rFonts w:eastAsia="Times New Roman" w:cs="Calibri"/>
          <w:sz w:val="24"/>
          <w:szCs w:val="24"/>
        </w:rPr>
        <w:t>reflectat</w:t>
      </w:r>
      <w:r w:rsidR="00E747AB">
        <w:rPr>
          <w:rFonts w:eastAsia="Times New Roman" w:cs="Calibri"/>
          <w:sz w:val="24"/>
          <w:szCs w:val="24"/>
        </w:rPr>
        <w:t>ă</w:t>
      </w:r>
      <w:r w:rsidR="003034BF" w:rsidRPr="003034BF">
        <w:rPr>
          <w:rFonts w:eastAsia="Times New Roman" w:cs="Calibri"/>
          <w:sz w:val="24"/>
          <w:szCs w:val="24"/>
        </w:rPr>
        <w:t xml:space="preserve"> </w:t>
      </w:r>
      <w:r w:rsidR="00E747AB">
        <w:rPr>
          <w:rFonts w:eastAsia="Times New Roman" w:cs="Calibri"/>
          <w:sz w:val="24"/>
          <w:szCs w:val="24"/>
        </w:rPr>
        <w:t>î</w:t>
      </w:r>
      <w:r w:rsidR="003034BF" w:rsidRPr="003034BF">
        <w:rPr>
          <w:rFonts w:eastAsia="Times New Roman" w:cs="Calibri"/>
          <w:sz w:val="24"/>
          <w:szCs w:val="24"/>
        </w:rPr>
        <w:t xml:space="preserve">n deflatorul </w:t>
      </w:r>
      <w:r w:rsidR="003034BF">
        <w:rPr>
          <w:rFonts w:eastAsia="Times New Roman" w:cs="Calibri"/>
          <w:sz w:val="24"/>
          <w:szCs w:val="24"/>
        </w:rPr>
        <w:t>PIB</w:t>
      </w:r>
      <w:r w:rsidR="003034BF" w:rsidRPr="003034BF">
        <w:rPr>
          <w:rFonts w:eastAsia="Times New Roman" w:cs="Calibri"/>
          <w:sz w:val="24"/>
          <w:szCs w:val="24"/>
        </w:rPr>
        <w:t>)</w:t>
      </w:r>
      <w:r w:rsidR="00BC6830">
        <w:rPr>
          <w:rFonts w:eastAsia="Times New Roman" w:cs="Calibri"/>
          <w:sz w:val="24"/>
          <w:szCs w:val="24"/>
        </w:rPr>
        <w:t xml:space="preserve"> </w:t>
      </w:r>
      <w:r w:rsidR="003034BF" w:rsidRPr="003034BF">
        <w:rPr>
          <w:rFonts w:eastAsia="Times New Roman" w:cs="Calibri"/>
          <w:sz w:val="24"/>
          <w:szCs w:val="24"/>
        </w:rPr>
        <w:t>și comportament</w:t>
      </w:r>
      <w:r w:rsidR="00F83C05">
        <w:rPr>
          <w:rFonts w:eastAsia="Times New Roman" w:cs="Calibri"/>
          <w:sz w:val="24"/>
          <w:szCs w:val="24"/>
        </w:rPr>
        <w:t>ului</w:t>
      </w:r>
      <w:r w:rsidR="003034BF" w:rsidRPr="003034BF">
        <w:rPr>
          <w:rFonts w:eastAsia="Times New Roman" w:cs="Calibri"/>
          <w:sz w:val="24"/>
          <w:szCs w:val="24"/>
        </w:rPr>
        <w:t xml:space="preserve"> firmelor care au rambursat într-o proporție </w:t>
      </w:r>
      <w:r w:rsidR="00F83C05">
        <w:rPr>
          <w:rFonts w:eastAsia="Times New Roman" w:cs="Calibri"/>
          <w:sz w:val="24"/>
          <w:szCs w:val="24"/>
        </w:rPr>
        <w:t>considerabilă</w:t>
      </w:r>
      <w:r w:rsidR="003034BF" w:rsidRPr="003034BF">
        <w:rPr>
          <w:rFonts w:eastAsia="Times New Roman" w:cs="Calibri"/>
          <w:sz w:val="24"/>
          <w:szCs w:val="24"/>
        </w:rPr>
        <w:t xml:space="preserve"> impozitele amânate la plată în anul anterior. </w:t>
      </w:r>
    </w:p>
    <w:p w14:paraId="63C742DB" w14:textId="13FBE917" w:rsidR="001162CC" w:rsidRDefault="00D75FA6" w:rsidP="00D75FA6">
      <w:pPr>
        <w:spacing w:after="200" w:line="276" w:lineRule="auto"/>
        <w:jc w:val="both"/>
        <w:rPr>
          <w:rFonts w:eastAsia="Times New Roman" w:cs="Calibri"/>
          <w:sz w:val="24"/>
          <w:szCs w:val="24"/>
        </w:rPr>
      </w:pPr>
      <w:r w:rsidRPr="00D75FA6">
        <w:rPr>
          <w:rFonts w:eastAsia="Times New Roman" w:cs="Calibri"/>
          <w:sz w:val="24"/>
          <w:szCs w:val="24"/>
        </w:rPr>
        <w:lastRenderedPageBreak/>
        <w:t xml:space="preserve">Pe categorii de venituri, diferențe în plus mai însemnate față de estimările </w:t>
      </w:r>
      <w:r w:rsidR="001375D2">
        <w:rPr>
          <w:rFonts w:eastAsia="Times New Roman" w:cs="Calibri"/>
          <w:sz w:val="24"/>
          <w:szCs w:val="24"/>
        </w:rPr>
        <w:t>de la prima rectificare</w:t>
      </w:r>
      <w:r w:rsidRPr="00D75FA6">
        <w:rPr>
          <w:rFonts w:eastAsia="Times New Roman" w:cs="Calibri"/>
          <w:sz w:val="24"/>
          <w:szCs w:val="24"/>
        </w:rPr>
        <w:t xml:space="preserve"> survin </w:t>
      </w:r>
      <w:r w:rsidR="00C23696">
        <w:rPr>
          <w:rFonts w:eastAsia="Times New Roman" w:cs="Calibri"/>
          <w:sz w:val="24"/>
          <w:szCs w:val="24"/>
        </w:rPr>
        <w:t>la</w:t>
      </w:r>
      <w:r w:rsidRPr="00D75FA6">
        <w:rPr>
          <w:rFonts w:eastAsia="Times New Roman" w:cs="Calibri"/>
          <w:sz w:val="24"/>
          <w:szCs w:val="24"/>
        </w:rPr>
        <w:t xml:space="preserve"> TVA (+5,02 mld. lei), impozit pe profit (</w:t>
      </w:r>
      <w:r w:rsidR="009A5831">
        <w:rPr>
          <w:rFonts w:eastAsia="Times New Roman" w:cs="Calibri"/>
          <w:sz w:val="24"/>
          <w:szCs w:val="24"/>
        </w:rPr>
        <w:t>+</w:t>
      </w:r>
      <w:r w:rsidRPr="00D75FA6">
        <w:rPr>
          <w:rFonts w:eastAsia="Times New Roman" w:cs="Calibri"/>
          <w:sz w:val="24"/>
          <w:szCs w:val="24"/>
        </w:rPr>
        <w:t>1,75 mld. lei), contribuții de asigurări (+1,07 mld. lei), impozit pe salarii și venit (</w:t>
      </w:r>
      <w:r w:rsidR="00E5774E">
        <w:rPr>
          <w:rFonts w:eastAsia="Times New Roman" w:cs="Calibri"/>
          <w:sz w:val="24"/>
          <w:szCs w:val="24"/>
        </w:rPr>
        <w:t>+</w:t>
      </w:r>
      <w:r w:rsidRPr="00D75FA6">
        <w:rPr>
          <w:rFonts w:eastAsia="Times New Roman" w:cs="Calibri"/>
          <w:sz w:val="24"/>
          <w:szCs w:val="24"/>
        </w:rPr>
        <w:t>0,55 mld. lei)</w:t>
      </w:r>
      <w:r w:rsidR="00C23696">
        <w:rPr>
          <w:rFonts w:eastAsia="Times New Roman" w:cs="Calibri"/>
          <w:sz w:val="24"/>
          <w:szCs w:val="24"/>
        </w:rPr>
        <w:t xml:space="preserve">, </w:t>
      </w:r>
      <w:r w:rsidRPr="00D75FA6">
        <w:rPr>
          <w:rFonts w:eastAsia="Times New Roman" w:cs="Calibri"/>
          <w:sz w:val="24"/>
          <w:szCs w:val="24"/>
        </w:rPr>
        <w:t>în timp ce minusuri sunt prognozate la taxa pe utilizarea bunurilor, autorizarea utilizării bunurilor sau pe desfășurarea de activități (-2,07 mld. lei ca urmare a neîncasări</w:t>
      </w:r>
      <w:r w:rsidR="00E5774E">
        <w:rPr>
          <w:rFonts w:eastAsia="Times New Roman" w:cs="Calibri"/>
          <w:sz w:val="24"/>
          <w:szCs w:val="24"/>
        </w:rPr>
        <w:t>i</w:t>
      </w:r>
      <w:r w:rsidRPr="00D75FA6">
        <w:rPr>
          <w:rFonts w:eastAsia="Times New Roman" w:cs="Calibri"/>
          <w:sz w:val="24"/>
          <w:szCs w:val="24"/>
        </w:rPr>
        <w:t xml:space="preserve"> sumelor provenite din închirierea benzilor de frecvență) și sume</w:t>
      </w:r>
      <w:r w:rsidR="006A19B2">
        <w:rPr>
          <w:rFonts w:eastAsia="Times New Roman" w:cs="Calibri"/>
          <w:sz w:val="24"/>
          <w:szCs w:val="24"/>
        </w:rPr>
        <w:t>le</w:t>
      </w:r>
      <w:r w:rsidRPr="00D75FA6">
        <w:rPr>
          <w:rFonts w:eastAsia="Times New Roman" w:cs="Calibri"/>
          <w:sz w:val="24"/>
          <w:szCs w:val="24"/>
        </w:rPr>
        <w:t xml:space="preserve"> primite de la UE/al</w:t>
      </w:r>
      <w:r w:rsidR="00F7568E">
        <w:rPr>
          <w:rFonts w:eastAsia="Times New Roman" w:cs="Calibri"/>
          <w:sz w:val="24"/>
          <w:szCs w:val="24"/>
        </w:rPr>
        <w:t>ț</w:t>
      </w:r>
      <w:r w:rsidRPr="00D75FA6">
        <w:rPr>
          <w:rFonts w:eastAsia="Times New Roman" w:cs="Calibri"/>
          <w:sz w:val="24"/>
          <w:szCs w:val="24"/>
        </w:rPr>
        <w:t xml:space="preserve">i donatori </w:t>
      </w:r>
      <w:r w:rsidR="00F7568E">
        <w:rPr>
          <w:rFonts w:eastAsia="Times New Roman" w:cs="Calibri"/>
          <w:sz w:val="24"/>
          <w:szCs w:val="24"/>
        </w:rPr>
        <w:t>î</w:t>
      </w:r>
      <w:r w:rsidRPr="00D75FA6">
        <w:rPr>
          <w:rFonts w:eastAsia="Times New Roman" w:cs="Calibri"/>
          <w:sz w:val="24"/>
          <w:szCs w:val="24"/>
        </w:rPr>
        <w:t>n contul pl</w:t>
      </w:r>
      <w:r w:rsidR="00F7568E">
        <w:rPr>
          <w:rFonts w:eastAsia="Times New Roman" w:cs="Calibri"/>
          <w:sz w:val="24"/>
          <w:szCs w:val="24"/>
        </w:rPr>
        <w:t>ăț</w:t>
      </w:r>
      <w:r w:rsidRPr="00D75FA6">
        <w:rPr>
          <w:rFonts w:eastAsia="Times New Roman" w:cs="Calibri"/>
          <w:sz w:val="24"/>
          <w:szCs w:val="24"/>
        </w:rPr>
        <w:t xml:space="preserve">ilor efectuate </w:t>
      </w:r>
      <w:r w:rsidR="00F7568E">
        <w:rPr>
          <w:rFonts w:eastAsia="Times New Roman" w:cs="Calibri"/>
          <w:sz w:val="24"/>
          <w:szCs w:val="24"/>
        </w:rPr>
        <w:t>ș</w:t>
      </w:r>
      <w:r w:rsidRPr="00D75FA6">
        <w:rPr>
          <w:rFonts w:eastAsia="Times New Roman" w:cs="Calibri"/>
          <w:sz w:val="24"/>
          <w:szCs w:val="24"/>
        </w:rPr>
        <w:t>i prefinan</w:t>
      </w:r>
      <w:r w:rsidR="00F7568E">
        <w:rPr>
          <w:rFonts w:eastAsia="Times New Roman" w:cs="Calibri"/>
          <w:sz w:val="24"/>
          <w:szCs w:val="24"/>
        </w:rPr>
        <w:t>ță</w:t>
      </w:r>
      <w:r w:rsidRPr="00D75FA6">
        <w:rPr>
          <w:rFonts w:eastAsia="Times New Roman" w:cs="Calibri"/>
          <w:sz w:val="24"/>
          <w:szCs w:val="24"/>
        </w:rPr>
        <w:t xml:space="preserve">ri aferente </w:t>
      </w:r>
      <w:r w:rsidR="000C3D87">
        <w:rPr>
          <w:rFonts w:eastAsia="Times New Roman" w:cs="Calibri"/>
          <w:sz w:val="24"/>
          <w:szCs w:val="24"/>
        </w:rPr>
        <w:t>exercițiului</w:t>
      </w:r>
      <w:r w:rsidRPr="00D75FA6">
        <w:rPr>
          <w:rFonts w:eastAsia="Times New Roman" w:cs="Calibri"/>
          <w:sz w:val="24"/>
          <w:szCs w:val="24"/>
        </w:rPr>
        <w:t xml:space="preserve"> financiar </w:t>
      </w:r>
      <w:r w:rsidR="00994486">
        <w:rPr>
          <w:rFonts w:eastAsia="Times New Roman" w:cs="Calibri"/>
          <w:sz w:val="24"/>
          <w:szCs w:val="24"/>
        </w:rPr>
        <w:t xml:space="preserve">     </w:t>
      </w:r>
      <w:r w:rsidRPr="00D75FA6">
        <w:rPr>
          <w:rFonts w:eastAsia="Times New Roman" w:cs="Calibri"/>
          <w:sz w:val="24"/>
          <w:szCs w:val="24"/>
        </w:rPr>
        <w:t xml:space="preserve">2014-2020 (-3,24 mld. lei). </w:t>
      </w:r>
    </w:p>
    <w:p w14:paraId="22FE5355" w14:textId="66B5B400" w:rsidR="00D75FA6" w:rsidRPr="00D75FA6" w:rsidRDefault="00E131E0" w:rsidP="00D75FA6">
      <w:pPr>
        <w:spacing w:after="200" w:line="276" w:lineRule="auto"/>
        <w:jc w:val="both"/>
        <w:rPr>
          <w:rFonts w:eastAsia="Times New Roman" w:cs="Calibri"/>
          <w:sz w:val="24"/>
          <w:szCs w:val="24"/>
        </w:rPr>
      </w:pPr>
      <w:r>
        <w:rPr>
          <w:rFonts w:eastAsia="Times New Roman" w:cs="Calibri"/>
          <w:sz w:val="24"/>
          <w:szCs w:val="24"/>
        </w:rPr>
        <w:t>În această fază a analizei</w:t>
      </w:r>
      <w:r w:rsidR="00F7568E">
        <w:rPr>
          <w:rFonts w:eastAsia="Times New Roman" w:cs="Calibri"/>
          <w:sz w:val="24"/>
          <w:szCs w:val="24"/>
        </w:rPr>
        <w:t>,</w:t>
      </w:r>
      <w:r w:rsidR="00D75FA6" w:rsidRPr="00D75FA6">
        <w:rPr>
          <w:rFonts w:eastAsia="Times New Roman" w:cs="Calibri"/>
          <w:sz w:val="24"/>
          <w:szCs w:val="24"/>
        </w:rPr>
        <w:t xml:space="preserve"> C</w:t>
      </w:r>
      <w:r>
        <w:rPr>
          <w:rFonts w:eastAsia="Times New Roman" w:cs="Calibri"/>
          <w:sz w:val="24"/>
          <w:szCs w:val="24"/>
        </w:rPr>
        <w:t>onsiliul Fiscal</w:t>
      </w:r>
      <w:r w:rsidR="00D75FA6" w:rsidRPr="00D75FA6">
        <w:rPr>
          <w:rFonts w:eastAsia="Times New Roman" w:cs="Calibri"/>
          <w:sz w:val="24"/>
          <w:szCs w:val="24"/>
        </w:rPr>
        <w:t xml:space="preserve"> apreciază noul nivel propus al veniturilor bugetare drept </w:t>
      </w:r>
      <w:r w:rsidR="003034BF">
        <w:rPr>
          <w:rFonts w:eastAsia="Times New Roman" w:cs="Calibri"/>
          <w:sz w:val="24"/>
          <w:szCs w:val="24"/>
        </w:rPr>
        <w:t>realist.</w:t>
      </w:r>
      <w:r w:rsidR="00D75FA6" w:rsidRPr="00D75FA6">
        <w:rPr>
          <w:rFonts w:eastAsia="Times New Roman" w:cs="Calibri"/>
          <w:sz w:val="24"/>
          <w:szCs w:val="24"/>
        </w:rPr>
        <w:t xml:space="preserve"> </w:t>
      </w:r>
    </w:p>
    <w:p w14:paraId="52065796" w14:textId="5C046742" w:rsidR="003034BF" w:rsidRDefault="00D75FA6" w:rsidP="00D75FA6">
      <w:pPr>
        <w:spacing w:after="200" w:line="276" w:lineRule="auto"/>
        <w:jc w:val="both"/>
        <w:rPr>
          <w:rFonts w:eastAsia="Times New Roman" w:cs="Calibri"/>
          <w:sz w:val="24"/>
          <w:szCs w:val="24"/>
        </w:rPr>
      </w:pPr>
      <w:r w:rsidRPr="00D75FA6">
        <w:rPr>
          <w:rFonts w:eastAsia="Times New Roman" w:cs="Calibri"/>
          <w:sz w:val="24"/>
          <w:szCs w:val="24"/>
        </w:rPr>
        <w:t xml:space="preserve">Pe partea de cheltuieli bugetare, are loc o nouă majorare comparativ cu parametrii aprobați la prima rectificare bugetară, cauzele principale fiind suplimentările </w:t>
      </w:r>
      <w:r w:rsidR="003034BF">
        <w:rPr>
          <w:rFonts w:eastAsia="Times New Roman" w:cs="Calibri"/>
          <w:sz w:val="24"/>
          <w:szCs w:val="24"/>
        </w:rPr>
        <w:t xml:space="preserve">de </w:t>
      </w:r>
      <w:r w:rsidRPr="00D75FA6">
        <w:rPr>
          <w:rFonts w:eastAsia="Times New Roman" w:cs="Calibri"/>
          <w:sz w:val="24"/>
          <w:szCs w:val="24"/>
        </w:rPr>
        <w:t>cheltuieli curente, parțial compensate de diminuarea cheltuielilor de investiții. Astfel, suplimentări importante au loc la nivelul cheltuielilor cu asistența socială (+3,57 mld. lei), bunuri și servicii (+3,09 mld. lei), dobânzi (+1,37 mld. lei), personal (+1,1 mld. lei), subvenții (</w:t>
      </w:r>
      <w:r w:rsidR="00BA1E17">
        <w:rPr>
          <w:rFonts w:eastAsia="Times New Roman" w:cs="Calibri"/>
          <w:sz w:val="24"/>
          <w:szCs w:val="24"/>
        </w:rPr>
        <w:t>+</w:t>
      </w:r>
      <w:r w:rsidRPr="00D75FA6">
        <w:rPr>
          <w:rFonts w:eastAsia="Times New Roman" w:cs="Calibri"/>
          <w:sz w:val="24"/>
          <w:szCs w:val="24"/>
        </w:rPr>
        <w:t>0,9 mld. lei), alte cheltuieli (</w:t>
      </w:r>
      <w:r w:rsidR="00BA1E17">
        <w:rPr>
          <w:rFonts w:eastAsia="Times New Roman" w:cs="Calibri"/>
          <w:sz w:val="24"/>
          <w:szCs w:val="24"/>
        </w:rPr>
        <w:t>+</w:t>
      </w:r>
      <w:r w:rsidRPr="00D75FA6">
        <w:rPr>
          <w:rFonts w:eastAsia="Times New Roman" w:cs="Calibri"/>
          <w:sz w:val="24"/>
          <w:szCs w:val="24"/>
        </w:rPr>
        <w:t xml:space="preserve">0,67 mld. lei) în timp </w:t>
      </w:r>
      <w:r w:rsidR="00CE2AFF">
        <w:rPr>
          <w:rFonts w:eastAsia="Times New Roman" w:cs="Calibri"/>
          <w:sz w:val="24"/>
          <w:szCs w:val="24"/>
        </w:rPr>
        <w:t>c</w:t>
      </w:r>
      <w:r w:rsidRPr="00D75FA6">
        <w:rPr>
          <w:rFonts w:eastAsia="Times New Roman" w:cs="Calibri"/>
          <w:sz w:val="24"/>
          <w:szCs w:val="24"/>
        </w:rPr>
        <w:t xml:space="preserve">e reduceri semnificative </w:t>
      </w:r>
      <w:r w:rsidR="00BA1E17">
        <w:rPr>
          <w:rFonts w:eastAsia="Times New Roman" w:cs="Calibri"/>
          <w:sz w:val="24"/>
          <w:szCs w:val="24"/>
        </w:rPr>
        <w:t>sunt</w:t>
      </w:r>
      <w:r w:rsidRPr="00D75FA6">
        <w:rPr>
          <w:rFonts w:eastAsia="Times New Roman" w:cs="Calibri"/>
          <w:sz w:val="24"/>
          <w:szCs w:val="24"/>
        </w:rPr>
        <w:t xml:space="preserve"> consemnate la nivelul proiectelor cu finanțare din fonduri externe nerambursabile postaderare 2014-2020 (-3,48 mld. lei), cheltuie</w:t>
      </w:r>
      <w:r w:rsidR="00F7568E">
        <w:rPr>
          <w:rFonts w:eastAsia="Times New Roman" w:cs="Calibri"/>
          <w:sz w:val="24"/>
          <w:szCs w:val="24"/>
        </w:rPr>
        <w:t>li</w:t>
      </w:r>
      <w:r w:rsidRPr="00D75FA6">
        <w:rPr>
          <w:rFonts w:eastAsia="Times New Roman" w:cs="Calibri"/>
          <w:sz w:val="24"/>
          <w:szCs w:val="24"/>
        </w:rPr>
        <w:t xml:space="preserve">lor de capital (-1,48 mld. lei), alte transferuri (-1,05 mld. lei). </w:t>
      </w:r>
    </w:p>
    <w:p w14:paraId="19D967F9" w14:textId="48A5ABC8" w:rsidR="00AA44F3" w:rsidRDefault="003034BF" w:rsidP="003034BF">
      <w:pPr>
        <w:spacing w:after="200" w:line="276" w:lineRule="auto"/>
        <w:jc w:val="both"/>
        <w:rPr>
          <w:rFonts w:eastAsia="Times New Roman" w:cs="Calibri"/>
          <w:sz w:val="24"/>
          <w:szCs w:val="24"/>
        </w:rPr>
      </w:pPr>
      <w:r w:rsidRPr="003034BF">
        <w:rPr>
          <w:rFonts w:eastAsia="Times New Roman" w:cs="Calibri"/>
          <w:sz w:val="24"/>
          <w:szCs w:val="24"/>
        </w:rPr>
        <w:t xml:space="preserve">Evoluția cheltuielilor bugetare </w:t>
      </w:r>
      <w:r w:rsidR="002B1E11">
        <w:rPr>
          <w:rFonts w:eastAsia="Times New Roman" w:cs="Calibri"/>
          <w:sz w:val="24"/>
          <w:szCs w:val="24"/>
        </w:rPr>
        <w:t>confirmă</w:t>
      </w:r>
      <w:r w:rsidRPr="003034BF">
        <w:rPr>
          <w:rFonts w:eastAsia="Times New Roman" w:cs="Calibri"/>
          <w:sz w:val="24"/>
          <w:szCs w:val="24"/>
        </w:rPr>
        <w:t xml:space="preserve"> </w:t>
      </w:r>
      <w:r w:rsidR="002B1E11">
        <w:rPr>
          <w:rFonts w:eastAsia="Times New Roman" w:cs="Calibri"/>
          <w:sz w:val="24"/>
          <w:szCs w:val="24"/>
        </w:rPr>
        <w:t>evaluările</w:t>
      </w:r>
      <w:r w:rsidRPr="003034BF">
        <w:rPr>
          <w:rFonts w:eastAsia="Times New Roman" w:cs="Calibri"/>
          <w:sz w:val="24"/>
          <w:szCs w:val="24"/>
        </w:rPr>
        <w:t xml:space="preserve"> formulate de CF cu ocazia primei rectificări bugetare privind necesarul suplimentar de resurse la nivelul cheltuielilor de asistență socială în cuantum de 3,5 mld. </w:t>
      </w:r>
      <w:r w:rsidR="006D7569">
        <w:rPr>
          <w:rFonts w:eastAsia="Times New Roman" w:cs="Calibri"/>
          <w:sz w:val="24"/>
          <w:szCs w:val="24"/>
        </w:rPr>
        <w:t>l</w:t>
      </w:r>
      <w:r w:rsidRPr="003034BF">
        <w:rPr>
          <w:rFonts w:eastAsia="Times New Roman" w:cs="Calibri"/>
          <w:sz w:val="24"/>
          <w:szCs w:val="24"/>
        </w:rPr>
        <w:t xml:space="preserve">ei </w:t>
      </w:r>
      <w:r w:rsidR="006D7569">
        <w:rPr>
          <w:rFonts w:eastAsia="Times New Roman" w:cs="Calibri"/>
          <w:sz w:val="24"/>
          <w:szCs w:val="24"/>
        </w:rPr>
        <w:t>ș</w:t>
      </w:r>
      <w:r w:rsidRPr="003034BF">
        <w:rPr>
          <w:rFonts w:eastAsia="Times New Roman" w:cs="Calibri"/>
          <w:sz w:val="24"/>
          <w:szCs w:val="24"/>
        </w:rPr>
        <w:t>i riscuri</w:t>
      </w:r>
      <w:r w:rsidR="00CD4EE0">
        <w:rPr>
          <w:rFonts w:eastAsia="Times New Roman" w:cs="Calibri"/>
          <w:sz w:val="24"/>
          <w:szCs w:val="24"/>
        </w:rPr>
        <w:t xml:space="preserve">le </w:t>
      </w:r>
      <w:r w:rsidRPr="003034BF">
        <w:rPr>
          <w:rFonts w:eastAsia="Times New Roman" w:cs="Calibri"/>
          <w:sz w:val="24"/>
          <w:szCs w:val="24"/>
        </w:rPr>
        <w:t>de depășire la nivelul cheltuielilor de personal și cu bunuri și servicii. În cazul ultimelor două categorii de cheltuieli, magnitudinea depășirilor este însă peste cea anticipată anterior de CF, alocări suplimentare dovedindu-se necesare și la nivelul altor categorii de cheltuieli. Chiar dacă aceste evoluții pot fi atribuite parțial evoluției pandemiei</w:t>
      </w:r>
      <w:r w:rsidR="003076DC">
        <w:rPr>
          <w:rFonts w:eastAsia="Times New Roman" w:cs="Calibri"/>
          <w:sz w:val="24"/>
          <w:szCs w:val="24"/>
        </w:rPr>
        <w:t xml:space="preserve"> </w:t>
      </w:r>
      <w:r w:rsidRPr="003034BF">
        <w:rPr>
          <w:rFonts w:eastAsia="Times New Roman" w:cs="Calibri"/>
          <w:sz w:val="24"/>
          <w:szCs w:val="24"/>
        </w:rPr>
        <w:t>COVID-19, sau necesității de a reacționa în fața situației de pe piața energiei,</w:t>
      </w:r>
      <w:r w:rsidR="008C1644">
        <w:rPr>
          <w:rFonts w:eastAsia="Times New Roman" w:cs="Calibri"/>
          <w:sz w:val="24"/>
          <w:szCs w:val="24"/>
        </w:rPr>
        <w:t xml:space="preserve"> </w:t>
      </w:r>
      <w:r w:rsidRPr="003034BF">
        <w:rPr>
          <w:rFonts w:eastAsia="Times New Roman" w:cs="Calibri"/>
          <w:sz w:val="24"/>
          <w:szCs w:val="24"/>
        </w:rPr>
        <w:t>depășirile prognozate ale plafoanelor de cheltuieli arată lipsa unui control adecvat al acestora. Mai mult, depășirile</w:t>
      </w:r>
      <w:r w:rsidR="003D0905">
        <w:rPr>
          <w:rFonts w:eastAsia="Times New Roman" w:cs="Calibri"/>
          <w:sz w:val="24"/>
          <w:szCs w:val="24"/>
        </w:rPr>
        <w:t xml:space="preserve"> </w:t>
      </w:r>
      <w:r w:rsidR="005E0DB8">
        <w:rPr>
          <w:rFonts w:eastAsia="Times New Roman" w:cs="Calibri"/>
          <w:sz w:val="24"/>
          <w:szCs w:val="24"/>
        </w:rPr>
        <w:t>au loc</w:t>
      </w:r>
      <w:r w:rsidRPr="003034BF">
        <w:rPr>
          <w:rFonts w:eastAsia="Times New Roman" w:cs="Calibri"/>
          <w:sz w:val="24"/>
          <w:szCs w:val="24"/>
        </w:rPr>
        <w:t xml:space="preserve"> la nivelul unor categorii de cheltuieli permanente, compensarea venind parțial din diminuarea cheltuielilor de investiții.</w:t>
      </w:r>
    </w:p>
    <w:p w14:paraId="7BD842A7" w14:textId="13E38105" w:rsidR="003034BF" w:rsidRPr="003034BF" w:rsidRDefault="00C302C7" w:rsidP="003034BF">
      <w:pPr>
        <w:spacing w:after="200" w:line="276" w:lineRule="auto"/>
        <w:jc w:val="both"/>
        <w:rPr>
          <w:rFonts w:eastAsia="Times New Roman" w:cs="Calibri"/>
          <w:sz w:val="24"/>
          <w:szCs w:val="24"/>
        </w:rPr>
      </w:pPr>
      <w:r>
        <w:rPr>
          <w:rFonts w:eastAsia="Times New Roman" w:cs="Calibri"/>
          <w:sz w:val="24"/>
          <w:szCs w:val="24"/>
        </w:rPr>
        <w:t>Depășiri recurente de cheltuieli permanente</w:t>
      </w:r>
      <w:r w:rsidR="00AF14D9">
        <w:rPr>
          <w:rFonts w:eastAsia="Times New Roman" w:cs="Calibri"/>
          <w:sz w:val="24"/>
          <w:szCs w:val="24"/>
        </w:rPr>
        <w:t xml:space="preserve">, </w:t>
      </w:r>
      <w:r>
        <w:rPr>
          <w:rFonts w:eastAsia="Times New Roman" w:cs="Calibri"/>
          <w:sz w:val="24"/>
          <w:szCs w:val="24"/>
        </w:rPr>
        <w:t>ce contribuie la niveluri nesustenabile</w:t>
      </w:r>
      <w:r w:rsidR="00AF14D9">
        <w:rPr>
          <w:rFonts w:eastAsia="Times New Roman" w:cs="Calibri"/>
          <w:sz w:val="24"/>
          <w:szCs w:val="24"/>
        </w:rPr>
        <w:t xml:space="preserve"> ale acestora,</w:t>
      </w:r>
      <w:r>
        <w:rPr>
          <w:rFonts w:eastAsia="Times New Roman" w:cs="Calibri"/>
          <w:sz w:val="24"/>
          <w:szCs w:val="24"/>
        </w:rPr>
        <w:t xml:space="preserve"> slăbesc</w:t>
      </w:r>
      <w:r w:rsidR="003034BF" w:rsidRPr="003034BF">
        <w:rPr>
          <w:rFonts w:eastAsia="Times New Roman" w:cs="Calibri"/>
          <w:sz w:val="24"/>
          <w:szCs w:val="24"/>
        </w:rPr>
        <w:t xml:space="preserve"> bugetul general și complic</w:t>
      </w:r>
      <w:r>
        <w:rPr>
          <w:rFonts w:eastAsia="Times New Roman" w:cs="Calibri"/>
          <w:sz w:val="24"/>
          <w:szCs w:val="24"/>
        </w:rPr>
        <w:t>ă</w:t>
      </w:r>
      <w:r w:rsidR="003034BF" w:rsidRPr="003034BF">
        <w:rPr>
          <w:rFonts w:eastAsia="Times New Roman" w:cs="Calibri"/>
          <w:sz w:val="24"/>
          <w:szCs w:val="24"/>
        </w:rPr>
        <w:t xml:space="preserve"> procesul de consolidare fiscală. </w:t>
      </w:r>
    </w:p>
    <w:p w14:paraId="11CFB8ED" w14:textId="67CFA9A5" w:rsidR="00D75FA6" w:rsidRPr="00D75FA6" w:rsidRDefault="0021460A" w:rsidP="00D75FA6">
      <w:pPr>
        <w:spacing w:after="200" w:line="276" w:lineRule="auto"/>
        <w:jc w:val="both"/>
        <w:rPr>
          <w:rFonts w:eastAsia="Times New Roman" w:cs="Calibri"/>
          <w:sz w:val="24"/>
          <w:szCs w:val="24"/>
        </w:rPr>
      </w:pPr>
      <w:r>
        <w:rPr>
          <w:rFonts w:eastAsia="Times New Roman" w:cs="Calibri"/>
          <w:sz w:val="24"/>
          <w:szCs w:val="24"/>
        </w:rPr>
        <w:t>În această fază a analizei</w:t>
      </w:r>
      <w:r w:rsidR="00D75FA6" w:rsidRPr="00D75FA6">
        <w:rPr>
          <w:rFonts w:eastAsia="Times New Roman" w:cs="Calibri"/>
          <w:sz w:val="24"/>
          <w:szCs w:val="24"/>
        </w:rPr>
        <w:t xml:space="preserve">, CF </w:t>
      </w:r>
      <w:r w:rsidR="007147A9">
        <w:rPr>
          <w:rFonts w:eastAsia="Times New Roman" w:cs="Calibri"/>
          <w:sz w:val="24"/>
          <w:szCs w:val="24"/>
        </w:rPr>
        <w:t xml:space="preserve">apreciază </w:t>
      </w:r>
      <w:r w:rsidR="003D0905">
        <w:rPr>
          <w:rFonts w:eastAsia="Times New Roman" w:cs="Calibri"/>
          <w:sz w:val="24"/>
          <w:szCs w:val="24"/>
        </w:rPr>
        <w:t xml:space="preserve">că execuția bugetară </w:t>
      </w:r>
      <w:r w:rsidR="008335AD">
        <w:rPr>
          <w:rFonts w:eastAsia="Times New Roman" w:cs="Calibri"/>
          <w:sz w:val="24"/>
          <w:szCs w:val="24"/>
        </w:rPr>
        <w:t xml:space="preserve">se </w:t>
      </w:r>
      <w:r w:rsidR="003D0905">
        <w:rPr>
          <w:rFonts w:eastAsia="Times New Roman" w:cs="Calibri"/>
          <w:sz w:val="24"/>
          <w:szCs w:val="24"/>
        </w:rPr>
        <w:t xml:space="preserve">poate </w:t>
      </w:r>
      <w:r w:rsidR="008335AD">
        <w:rPr>
          <w:rFonts w:eastAsia="Times New Roman" w:cs="Calibri"/>
          <w:sz w:val="24"/>
          <w:szCs w:val="24"/>
        </w:rPr>
        <w:t>încadra în</w:t>
      </w:r>
      <w:r w:rsidR="003D0905">
        <w:rPr>
          <w:rFonts w:eastAsia="Times New Roman" w:cs="Calibri"/>
          <w:sz w:val="24"/>
          <w:szCs w:val="24"/>
        </w:rPr>
        <w:t xml:space="preserve"> </w:t>
      </w:r>
      <w:r w:rsidR="007147A9">
        <w:rPr>
          <w:rFonts w:eastAsia="Times New Roman" w:cs="Calibri"/>
          <w:sz w:val="24"/>
          <w:szCs w:val="24"/>
        </w:rPr>
        <w:t xml:space="preserve">noul nivel </w:t>
      </w:r>
      <w:r w:rsidR="00B053AD">
        <w:rPr>
          <w:rFonts w:eastAsia="Times New Roman" w:cs="Calibri"/>
          <w:sz w:val="24"/>
          <w:szCs w:val="24"/>
        </w:rPr>
        <w:t xml:space="preserve">proiectat </w:t>
      </w:r>
      <w:r w:rsidR="007147A9">
        <w:rPr>
          <w:rFonts w:eastAsia="Times New Roman" w:cs="Calibri"/>
          <w:sz w:val="24"/>
          <w:szCs w:val="24"/>
        </w:rPr>
        <w:t>al cheltuielilor bugetare</w:t>
      </w:r>
      <w:r w:rsidR="00D75FA6" w:rsidRPr="00D75FA6">
        <w:rPr>
          <w:rFonts w:eastAsia="Times New Roman" w:cs="Calibri"/>
          <w:sz w:val="24"/>
          <w:szCs w:val="24"/>
        </w:rPr>
        <w:t>.</w:t>
      </w:r>
    </w:p>
    <w:p w14:paraId="415FBB62" w14:textId="660A4D7C" w:rsidR="009B02EB" w:rsidRDefault="003034BF" w:rsidP="003034BF">
      <w:pPr>
        <w:spacing w:after="200" w:line="276" w:lineRule="auto"/>
        <w:jc w:val="both"/>
        <w:rPr>
          <w:rFonts w:eastAsia="Times New Roman" w:cs="Calibri"/>
          <w:sz w:val="24"/>
          <w:szCs w:val="24"/>
        </w:rPr>
      </w:pPr>
      <w:r w:rsidRPr="003034BF">
        <w:rPr>
          <w:rFonts w:eastAsia="Times New Roman" w:cs="Calibri"/>
          <w:sz w:val="24"/>
          <w:szCs w:val="24"/>
        </w:rPr>
        <w:t xml:space="preserve">Având în vedere cele de mai sus, </w:t>
      </w:r>
      <w:r w:rsidR="003A011C">
        <w:rPr>
          <w:rFonts w:eastAsia="Times New Roman" w:cs="Calibri"/>
          <w:sz w:val="24"/>
          <w:szCs w:val="24"/>
        </w:rPr>
        <w:t xml:space="preserve">situarea la </w:t>
      </w:r>
      <w:r w:rsidRPr="003034BF">
        <w:rPr>
          <w:rFonts w:eastAsia="Times New Roman" w:cs="Calibri"/>
          <w:sz w:val="24"/>
          <w:szCs w:val="24"/>
        </w:rPr>
        <w:t>nivelul</w:t>
      </w:r>
      <w:r w:rsidR="003A011C">
        <w:rPr>
          <w:rFonts w:eastAsia="Times New Roman" w:cs="Calibri"/>
          <w:sz w:val="24"/>
          <w:szCs w:val="24"/>
        </w:rPr>
        <w:t xml:space="preserve"> țintit</w:t>
      </w:r>
      <w:r w:rsidRPr="003034BF">
        <w:rPr>
          <w:rFonts w:eastAsia="Times New Roman" w:cs="Calibri"/>
          <w:sz w:val="24"/>
          <w:szCs w:val="24"/>
        </w:rPr>
        <w:t xml:space="preserve"> al deficitului bugetar </w:t>
      </w:r>
      <w:r w:rsidR="003A011C">
        <w:rPr>
          <w:rFonts w:eastAsia="Times New Roman" w:cs="Calibri"/>
          <w:sz w:val="24"/>
          <w:szCs w:val="24"/>
        </w:rPr>
        <w:t>(</w:t>
      </w:r>
      <w:r w:rsidR="00447C86">
        <w:rPr>
          <w:rFonts w:eastAsia="Times New Roman" w:cs="Calibri"/>
          <w:sz w:val="24"/>
          <w:szCs w:val="24"/>
        </w:rPr>
        <w:t>7,13% din PIB</w:t>
      </w:r>
      <w:r w:rsidR="003A011C">
        <w:rPr>
          <w:rFonts w:eastAsia="Times New Roman" w:cs="Calibri"/>
          <w:sz w:val="24"/>
          <w:szCs w:val="24"/>
        </w:rPr>
        <w:t>)</w:t>
      </w:r>
      <w:r w:rsidRPr="003034BF">
        <w:rPr>
          <w:rFonts w:eastAsia="Times New Roman" w:cs="Calibri"/>
          <w:sz w:val="24"/>
          <w:szCs w:val="24"/>
        </w:rPr>
        <w:t xml:space="preserve"> pentru anul în curs pare fezabilă, în condițiile în care creșterea peste așteptări a necesarului de cheltuieli curente este acoperită prin veniturile suplimentare obținute ca urmare a majorării </w:t>
      </w:r>
      <w:r w:rsidR="00CF2963">
        <w:rPr>
          <w:rFonts w:eastAsia="Times New Roman" w:cs="Calibri"/>
          <w:sz w:val="24"/>
          <w:szCs w:val="24"/>
        </w:rPr>
        <w:t>proiecției</w:t>
      </w:r>
      <w:r w:rsidRPr="003034BF">
        <w:rPr>
          <w:rFonts w:eastAsia="Times New Roman" w:cs="Calibri"/>
          <w:sz w:val="24"/>
          <w:szCs w:val="24"/>
        </w:rPr>
        <w:t xml:space="preserve"> PIB nominal și prin diminuarea cheltuielilor de investiții. </w:t>
      </w:r>
    </w:p>
    <w:p w14:paraId="2152A0E5" w14:textId="7991E5ED" w:rsidR="003034BF" w:rsidRPr="003034BF" w:rsidRDefault="006D7569" w:rsidP="003034BF">
      <w:pPr>
        <w:spacing w:after="200" w:line="276" w:lineRule="auto"/>
        <w:jc w:val="both"/>
        <w:rPr>
          <w:rFonts w:eastAsia="Times New Roman" w:cs="Calibri"/>
          <w:sz w:val="24"/>
          <w:szCs w:val="24"/>
        </w:rPr>
      </w:pPr>
      <w:r w:rsidRPr="003034BF">
        <w:rPr>
          <w:rFonts w:eastAsia="Times New Roman" w:cs="Calibri"/>
          <w:sz w:val="24"/>
          <w:szCs w:val="24"/>
        </w:rPr>
        <w:lastRenderedPageBreak/>
        <w:t>Așa</w:t>
      </w:r>
      <w:r w:rsidR="003034BF" w:rsidRPr="003034BF">
        <w:rPr>
          <w:rFonts w:eastAsia="Times New Roman" w:cs="Calibri"/>
          <w:sz w:val="24"/>
          <w:szCs w:val="24"/>
        </w:rPr>
        <w:t xml:space="preserve"> cum a subliniat </w:t>
      </w:r>
      <w:r>
        <w:rPr>
          <w:rFonts w:eastAsia="Times New Roman" w:cs="Calibri"/>
          <w:sz w:val="24"/>
          <w:szCs w:val="24"/>
        </w:rPr>
        <w:t>și</w:t>
      </w:r>
      <w:r w:rsidR="003034BF" w:rsidRPr="003034BF">
        <w:rPr>
          <w:rFonts w:eastAsia="Times New Roman" w:cs="Calibri"/>
          <w:sz w:val="24"/>
          <w:szCs w:val="24"/>
        </w:rPr>
        <w:t xml:space="preserve"> opinia </w:t>
      </w:r>
      <w:r w:rsidR="009B02EB">
        <w:rPr>
          <w:rFonts w:eastAsia="Times New Roman" w:cs="Calibri"/>
          <w:sz w:val="24"/>
          <w:szCs w:val="24"/>
        </w:rPr>
        <w:t xml:space="preserve">CF </w:t>
      </w:r>
      <w:r w:rsidR="003034BF" w:rsidRPr="003034BF">
        <w:rPr>
          <w:rFonts w:eastAsia="Times New Roman" w:cs="Calibri"/>
          <w:sz w:val="24"/>
          <w:szCs w:val="24"/>
        </w:rPr>
        <w:t>la rectificarea precedent</w:t>
      </w:r>
      <w:r w:rsidR="003034BF">
        <w:rPr>
          <w:rFonts w:eastAsia="Times New Roman" w:cs="Calibri"/>
          <w:sz w:val="24"/>
          <w:szCs w:val="24"/>
        </w:rPr>
        <w:t>ă</w:t>
      </w:r>
      <w:r w:rsidR="003034BF" w:rsidRPr="003034BF">
        <w:rPr>
          <w:rFonts w:eastAsia="Times New Roman" w:cs="Calibri"/>
          <w:sz w:val="24"/>
          <w:szCs w:val="24"/>
        </w:rPr>
        <w:t xml:space="preserve">, </w:t>
      </w:r>
      <w:r>
        <w:rPr>
          <w:rFonts w:eastAsia="Times New Roman" w:cs="Calibri"/>
          <w:sz w:val="24"/>
          <w:szCs w:val="24"/>
        </w:rPr>
        <w:t>î</w:t>
      </w:r>
      <w:r w:rsidR="003034BF" w:rsidRPr="003034BF">
        <w:rPr>
          <w:rFonts w:eastAsia="Times New Roman" w:cs="Calibri"/>
          <w:sz w:val="24"/>
          <w:szCs w:val="24"/>
        </w:rPr>
        <w:t>ntr-un an cu cre</w:t>
      </w:r>
      <w:r w:rsidR="003034BF">
        <w:rPr>
          <w:rFonts w:eastAsia="Times New Roman" w:cs="Calibri"/>
          <w:sz w:val="24"/>
          <w:szCs w:val="24"/>
        </w:rPr>
        <w:t>ș</w:t>
      </w:r>
      <w:r w:rsidR="003034BF" w:rsidRPr="003034BF">
        <w:rPr>
          <w:rFonts w:eastAsia="Times New Roman" w:cs="Calibri"/>
          <w:sz w:val="24"/>
          <w:szCs w:val="24"/>
        </w:rPr>
        <w:t>tere a PIB mult peste prognoz</w:t>
      </w:r>
      <w:r w:rsidR="003034BF">
        <w:rPr>
          <w:rFonts w:eastAsia="Times New Roman" w:cs="Calibri"/>
          <w:sz w:val="24"/>
          <w:szCs w:val="24"/>
        </w:rPr>
        <w:t>ă</w:t>
      </w:r>
      <w:r w:rsidR="003034BF" w:rsidRPr="003034BF">
        <w:rPr>
          <w:rFonts w:eastAsia="Times New Roman" w:cs="Calibri"/>
          <w:sz w:val="24"/>
          <w:szCs w:val="24"/>
        </w:rPr>
        <w:t xml:space="preserve"> </w:t>
      </w:r>
      <w:r w:rsidR="003034BF">
        <w:rPr>
          <w:rFonts w:eastAsia="Times New Roman" w:cs="Calibri"/>
          <w:sz w:val="24"/>
          <w:szCs w:val="24"/>
        </w:rPr>
        <w:t>ș</w:t>
      </w:r>
      <w:r w:rsidR="003034BF" w:rsidRPr="003034BF">
        <w:rPr>
          <w:rFonts w:eastAsia="Times New Roman" w:cs="Calibri"/>
          <w:sz w:val="24"/>
          <w:szCs w:val="24"/>
        </w:rPr>
        <w:t xml:space="preserve">i cu deflator </w:t>
      </w:r>
      <w:r w:rsidR="003034BF">
        <w:rPr>
          <w:rFonts w:eastAsia="Times New Roman" w:cs="Calibri"/>
          <w:sz w:val="24"/>
          <w:szCs w:val="24"/>
        </w:rPr>
        <w:t>î</w:t>
      </w:r>
      <w:r w:rsidR="003034BF" w:rsidRPr="003034BF">
        <w:rPr>
          <w:rFonts w:eastAsia="Times New Roman" w:cs="Calibri"/>
          <w:sz w:val="24"/>
          <w:szCs w:val="24"/>
        </w:rPr>
        <w:t>nalt este contraindicat ca deficitul s</w:t>
      </w:r>
      <w:r w:rsidR="003034BF">
        <w:rPr>
          <w:rFonts w:eastAsia="Times New Roman" w:cs="Calibri"/>
          <w:sz w:val="24"/>
          <w:szCs w:val="24"/>
        </w:rPr>
        <w:t>ă</w:t>
      </w:r>
      <w:r w:rsidR="003034BF" w:rsidRPr="003034BF">
        <w:rPr>
          <w:rFonts w:eastAsia="Times New Roman" w:cs="Calibri"/>
          <w:sz w:val="24"/>
          <w:szCs w:val="24"/>
        </w:rPr>
        <w:t xml:space="preserve"> creasc</w:t>
      </w:r>
      <w:r w:rsidR="003034BF">
        <w:rPr>
          <w:rFonts w:eastAsia="Times New Roman" w:cs="Calibri"/>
          <w:sz w:val="24"/>
          <w:szCs w:val="24"/>
        </w:rPr>
        <w:t>ă</w:t>
      </w:r>
      <w:r w:rsidR="003034BF" w:rsidRPr="003034BF">
        <w:rPr>
          <w:rFonts w:eastAsia="Times New Roman" w:cs="Calibri"/>
          <w:sz w:val="24"/>
          <w:szCs w:val="24"/>
        </w:rPr>
        <w:t xml:space="preserve"> </w:t>
      </w:r>
      <w:r w:rsidR="003034BF">
        <w:rPr>
          <w:rFonts w:eastAsia="Times New Roman" w:cs="Calibri"/>
          <w:sz w:val="24"/>
          <w:szCs w:val="24"/>
        </w:rPr>
        <w:t>î</w:t>
      </w:r>
      <w:r w:rsidR="003034BF" w:rsidRPr="003034BF">
        <w:rPr>
          <w:rFonts w:eastAsia="Times New Roman" w:cs="Calibri"/>
          <w:sz w:val="24"/>
          <w:szCs w:val="24"/>
        </w:rPr>
        <w:t>n termeni absolu</w:t>
      </w:r>
      <w:r w:rsidR="003034BF">
        <w:rPr>
          <w:rFonts w:eastAsia="Times New Roman" w:cs="Calibri"/>
          <w:sz w:val="24"/>
          <w:szCs w:val="24"/>
        </w:rPr>
        <w:t>ț</w:t>
      </w:r>
      <w:r w:rsidR="003034BF" w:rsidRPr="003034BF">
        <w:rPr>
          <w:rFonts w:eastAsia="Times New Roman" w:cs="Calibri"/>
          <w:sz w:val="24"/>
          <w:szCs w:val="24"/>
        </w:rPr>
        <w:t>i.</w:t>
      </w:r>
    </w:p>
    <w:p w14:paraId="79F335F9" w14:textId="29F2F40D" w:rsidR="003034BF" w:rsidRPr="003034BF" w:rsidRDefault="003034BF" w:rsidP="003034BF">
      <w:pPr>
        <w:spacing w:after="200" w:line="276" w:lineRule="auto"/>
        <w:jc w:val="both"/>
        <w:rPr>
          <w:rFonts w:eastAsia="Times New Roman" w:cs="Calibri"/>
          <w:sz w:val="24"/>
          <w:szCs w:val="24"/>
        </w:rPr>
      </w:pPr>
      <w:r w:rsidRPr="003034BF">
        <w:rPr>
          <w:rFonts w:eastAsia="Times New Roman" w:cs="Calibri"/>
          <w:sz w:val="24"/>
          <w:szCs w:val="24"/>
        </w:rPr>
        <w:t xml:space="preserve">Dintr-o perspectivă mai amplă, considerând execuția bugetului general consolidat pentru anul 2021, aceasta consemnează cea mai amplă revizuire </w:t>
      </w:r>
      <w:r w:rsidR="00A853FD">
        <w:rPr>
          <w:rFonts w:eastAsia="Times New Roman" w:cs="Calibri"/>
          <w:sz w:val="24"/>
          <w:szCs w:val="24"/>
        </w:rPr>
        <w:t>în sus</w:t>
      </w:r>
      <w:r w:rsidRPr="003034BF">
        <w:rPr>
          <w:rFonts w:eastAsia="Times New Roman" w:cs="Calibri"/>
          <w:sz w:val="24"/>
          <w:szCs w:val="24"/>
        </w:rPr>
        <w:t xml:space="preserve"> a veniturilor bugetare din istoria construcțiilor bugetare evaluate de Consiliul Fiscal, fără ca aceste evoluții să conducă la o diminuare a deficitului bugetar, toate sumele suplimentare fiind alocate pe</w:t>
      </w:r>
      <w:r w:rsidR="00055FA7">
        <w:rPr>
          <w:rFonts w:eastAsia="Times New Roman" w:cs="Calibri"/>
          <w:sz w:val="24"/>
          <w:szCs w:val="24"/>
        </w:rPr>
        <w:t>ntru</w:t>
      </w:r>
      <w:r w:rsidRPr="003034BF">
        <w:rPr>
          <w:rFonts w:eastAsia="Times New Roman" w:cs="Calibri"/>
          <w:sz w:val="24"/>
          <w:szCs w:val="24"/>
        </w:rPr>
        <w:t xml:space="preserve"> cheltuieli. Această situație este sub-optimă, cu atât mai mult cu cât </w:t>
      </w:r>
      <w:r w:rsidR="00DC781C">
        <w:rPr>
          <w:rFonts w:eastAsia="Times New Roman" w:cs="Calibri"/>
          <w:sz w:val="24"/>
          <w:szCs w:val="24"/>
        </w:rPr>
        <w:t xml:space="preserve">o </w:t>
      </w:r>
      <w:r w:rsidRPr="003034BF">
        <w:rPr>
          <w:rFonts w:eastAsia="Times New Roman" w:cs="Calibri"/>
          <w:sz w:val="24"/>
          <w:szCs w:val="24"/>
        </w:rPr>
        <w:t>parte din veniturile suplimentare încasate în anul curent sunt</w:t>
      </w:r>
      <w:r w:rsidR="00B04E0B">
        <w:rPr>
          <w:rFonts w:eastAsia="Times New Roman" w:cs="Calibri"/>
          <w:sz w:val="24"/>
          <w:szCs w:val="24"/>
        </w:rPr>
        <w:t xml:space="preserve"> ciclice sau</w:t>
      </w:r>
      <w:r w:rsidRPr="003034BF">
        <w:rPr>
          <w:rFonts w:eastAsia="Times New Roman" w:cs="Calibri"/>
          <w:sz w:val="24"/>
          <w:szCs w:val="24"/>
        </w:rPr>
        <w:t xml:space="preserve"> temporare</w:t>
      </w:r>
      <w:r w:rsidR="00B04E0B">
        <w:rPr>
          <w:rFonts w:eastAsia="Times New Roman" w:cs="Calibri"/>
          <w:sz w:val="24"/>
          <w:szCs w:val="24"/>
        </w:rPr>
        <w:t xml:space="preserve"> (acestea din urmă </w:t>
      </w:r>
      <w:r w:rsidRPr="003034BF">
        <w:rPr>
          <w:rFonts w:eastAsia="Times New Roman" w:cs="Calibri"/>
          <w:sz w:val="24"/>
          <w:szCs w:val="24"/>
        </w:rPr>
        <w:t xml:space="preserve">având drept sursă </w:t>
      </w:r>
      <w:r w:rsidR="008452CA">
        <w:rPr>
          <w:rFonts w:eastAsia="Times New Roman" w:cs="Calibri"/>
          <w:sz w:val="24"/>
          <w:szCs w:val="24"/>
        </w:rPr>
        <w:t xml:space="preserve">principală </w:t>
      </w:r>
      <w:r w:rsidRPr="003034BF">
        <w:rPr>
          <w:rFonts w:eastAsia="Times New Roman" w:cs="Calibri"/>
          <w:sz w:val="24"/>
          <w:szCs w:val="24"/>
        </w:rPr>
        <w:t>impozite</w:t>
      </w:r>
      <w:r w:rsidR="00E1699B">
        <w:rPr>
          <w:rFonts w:eastAsia="Times New Roman" w:cs="Calibri"/>
          <w:sz w:val="24"/>
          <w:szCs w:val="24"/>
        </w:rPr>
        <w:t xml:space="preserve"> și taxe</w:t>
      </w:r>
      <w:r w:rsidRPr="003034BF">
        <w:rPr>
          <w:rFonts w:eastAsia="Times New Roman" w:cs="Calibri"/>
          <w:sz w:val="24"/>
          <w:szCs w:val="24"/>
        </w:rPr>
        <w:t xml:space="preserve"> amânate la plată în anul anterior</w:t>
      </w:r>
      <w:r w:rsidR="00B04E0B">
        <w:rPr>
          <w:rFonts w:eastAsia="Times New Roman" w:cs="Calibri"/>
          <w:sz w:val="24"/>
          <w:szCs w:val="24"/>
        </w:rPr>
        <w:t>)</w:t>
      </w:r>
      <w:r w:rsidR="006D7569">
        <w:rPr>
          <w:rFonts w:eastAsia="Times New Roman" w:cs="Calibri"/>
          <w:sz w:val="24"/>
          <w:szCs w:val="24"/>
        </w:rPr>
        <w:t>,</w:t>
      </w:r>
      <w:r w:rsidRPr="003034BF">
        <w:rPr>
          <w:rFonts w:eastAsia="Times New Roman" w:cs="Calibri"/>
          <w:sz w:val="24"/>
          <w:szCs w:val="24"/>
        </w:rPr>
        <w:t xml:space="preserve"> în timp ce o parte și mai însemnată din sporul de cheltuieli a fost generat</w:t>
      </w:r>
      <w:r w:rsidR="00A33E2B">
        <w:rPr>
          <w:rFonts w:eastAsia="Times New Roman" w:cs="Calibri"/>
          <w:sz w:val="24"/>
          <w:szCs w:val="24"/>
        </w:rPr>
        <w:t>ă</w:t>
      </w:r>
      <w:r w:rsidRPr="003034BF">
        <w:rPr>
          <w:rFonts w:eastAsia="Times New Roman" w:cs="Calibri"/>
          <w:sz w:val="24"/>
          <w:szCs w:val="24"/>
        </w:rPr>
        <w:t xml:space="preserve"> de creșteri de cheltuieli permanente.  </w:t>
      </w:r>
    </w:p>
    <w:p w14:paraId="026A87EC" w14:textId="6021512D" w:rsidR="003034BF" w:rsidRDefault="006D7569" w:rsidP="003034BF">
      <w:pPr>
        <w:spacing w:after="200" w:line="276" w:lineRule="auto"/>
        <w:jc w:val="both"/>
        <w:rPr>
          <w:rFonts w:eastAsia="Times New Roman" w:cs="Calibri"/>
          <w:sz w:val="24"/>
          <w:szCs w:val="24"/>
        </w:rPr>
      </w:pPr>
      <w:r w:rsidRPr="003034BF">
        <w:rPr>
          <w:rFonts w:eastAsia="Times New Roman" w:cs="Calibri"/>
          <w:sz w:val="24"/>
          <w:szCs w:val="24"/>
        </w:rPr>
        <w:t>Construcția</w:t>
      </w:r>
      <w:r w:rsidR="003034BF" w:rsidRPr="003034BF">
        <w:rPr>
          <w:rFonts w:eastAsia="Times New Roman" w:cs="Calibri"/>
          <w:sz w:val="24"/>
          <w:szCs w:val="24"/>
        </w:rPr>
        <w:t xml:space="preserve"> bugetului pentru </w:t>
      </w:r>
      <w:r>
        <w:rPr>
          <w:rFonts w:eastAsia="Times New Roman" w:cs="Calibri"/>
          <w:sz w:val="24"/>
          <w:szCs w:val="24"/>
        </w:rPr>
        <w:t xml:space="preserve">anul </w:t>
      </w:r>
      <w:r w:rsidR="003034BF" w:rsidRPr="003034BF">
        <w:rPr>
          <w:rFonts w:eastAsia="Times New Roman" w:cs="Calibri"/>
          <w:sz w:val="24"/>
          <w:szCs w:val="24"/>
        </w:rPr>
        <w:t xml:space="preserve">2022 va fi un test </w:t>
      </w:r>
      <w:r w:rsidR="00A006BA">
        <w:rPr>
          <w:rFonts w:eastAsia="Times New Roman" w:cs="Calibri"/>
          <w:sz w:val="24"/>
          <w:szCs w:val="24"/>
        </w:rPr>
        <w:t>sever</w:t>
      </w:r>
      <w:r w:rsidR="003034BF" w:rsidRPr="003034BF">
        <w:rPr>
          <w:rFonts w:eastAsia="Times New Roman" w:cs="Calibri"/>
          <w:sz w:val="24"/>
          <w:szCs w:val="24"/>
        </w:rPr>
        <w:t xml:space="preserve"> </w:t>
      </w:r>
      <w:r w:rsidRPr="003034BF">
        <w:rPr>
          <w:rFonts w:eastAsia="Times New Roman" w:cs="Calibri"/>
          <w:sz w:val="24"/>
          <w:szCs w:val="24"/>
        </w:rPr>
        <w:t>având</w:t>
      </w:r>
      <w:r w:rsidR="003034BF" w:rsidRPr="003034BF">
        <w:rPr>
          <w:rFonts w:eastAsia="Times New Roman" w:cs="Calibri"/>
          <w:sz w:val="24"/>
          <w:szCs w:val="24"/>
        </w:rPr>
        <w:t xml:space="preserve"> </w:t>
      </w:r>
      <w:r>
        <w:rPr>
          <w:rFonts w:eastAsia="Times New Roman" w:cs="Calibri"/>
          <w:sz w:val="24"/>
          <w:szCs w:val="24"/>
        </w:rPr>
        <w:t>î</w:t>
      </w:r>
      <w:r w:rsidR="003034BF" w:rsidRPr="003034BF">
        <w:rPr>
          <w:rFonts w:eastAsia="Times New Roman" w:cs="Calibri"/>
          <w:sz w:val="24"/>
          <w:szCs w:val="24"/>
        </w:rPr>
        <w:t xml:space="preserve">n vedere </w:t>
      </w:r>
      <w:r>
        <w:rPr>
          <w:rFonts w:eastAsia="Times New Roman" w:cs="Calibri"/>
          <w:sz w:val="24"/>
          <w:szCs w:val="24"/>
        </w:rPr>
        <w:t>necesitatea</w:t>
      </w:r>
      <w:r w:rsidR="003034BF" w:rsidRPr="003034BF">
        <w:rPr>
          <w:rFonts w:eastAsia="Times New Roman" w:cs="Calibri"/>
          <w:sz w:val="24"/>
          <w:szCs w:val="24"/>
        </w:rPr>
        <w:t xml:space="preserve"> de a concilia </w:t>
      </w:r>
      <w:r>
        <w:rPr>
          <w:rFonts w:eastAsia="Times New Roman" w:cs="Calibri"/>
          <w:sz w:val="24"/>
          <w:szCs w:val="24"/>
        </w:rPr>
        <w:t>gestionarea</w:t>
      </w:r>
      <w:r w:rsidR="003034BF" w:rsidRPr="003034BF">
        <w:rPr>
          <w:rFonts w:eastAsia="Times New Roman" w:cs="Calibri"/>
          <w:sz w:val="24"/>
          <w:szCs w:val="24"/>
        </w:rPr>
        <w:t xml:space="preserve"> </w:t>
      </w:r>
      <w:r>
        <w:rPr>
          <w:rFonts w:eastAsia="Times New Roman" w:cs="Calibri"/>
          <w:sz w:val="24"/>
          <w:szCs w:val="24"/>
        </w:rPr>
        <w:t>situațiilor</w:t>
      </w:r>
      <w:r w:rsidR="003034BF" w:rsidRPr="003034BF">
        <w:rPr>
          <w:rFonts w:eastAsia="Times New Roman" w:cs="Calibri"/>
          <w:sz w:val="24"/>
          <w:szCs w:val="24"/>
        </w:rPr>
        <w:t xml:space="preserve"> foarte dificile cu care s</w:t>
      </w:r>
      <w:r>
        <w:rPr>
          <w:rFonts w:eastAsia="Times New Roman" w:cs="Calibri"/>
          <w:sz w:val="24"/>
          <w:szCs w:val="24"/>
        </w:rPr>
        <w:t>e</w:t>
      </w:r>
      <w:r w:rsidR="003034BF" w:rsidRPr="003034BF">
        <w:rPr>
          <w:rFonts w:eastAsia="Times New Roman" w:cs="Calibri"/>
          <w:sz w:val="24"/>
          <w:szCs w:val="24"/>
        </w:rPr>
        <w:t xml:space="preserve"> confrunt</w:t>
      </w:r>
      <w:r>
        <w:rPr>
          <w:rFonts w:eastAsia="Times New Roman" w:cs="Calibri"/>
          <w:sz w:val="24"/>
          <w:szCs w:val="24"/>
        </w:rPr>
        <w:t>ă</w:t>
      </w:r>
      <w:r w:rsidR="003034BF" w:rsidRPr="003034BF">
        <w:rPr>
          <w:rFonts w:eastAsia="Times New Roman" w:cs="Calibri"/>
          <w:sz w:val="24"/>
          <w:szCs w:val="24"/>
        </w:rPr>
        <w:t xml:space="preserve"> Rom</w:t>
      </w:r>
      <w:r>
        <w:rPr>
          <w:rFonts w:eastAsia="Times New Roman" w:cs="Calibri"/>
          <w:sz w:val="24"/>
          <w:szCs w:val="24"/>
        </w:rPr>
        <w:t>â</w:t>
      </w:r>
      <w:r w:rsidR="003034BF" w:rsidRPr="003034BF">
        <w:rPr>
          <w:rFonts w:eastAsia="Times New Roman" w:cs="Calibri"/>
          <w:sz w:val="24"/>
          <w:szCs w:val="24"/>
        </w:rPr>
        <w:t>nia (criza sanitar</w:t>
      </w:r>
      <w:r>
        <w:rPr>
          <w:rFonts w:eastAsia="Times New Roman" w:cs="Calibri"/>
          <w:sz w:val="24"/>
          <w:szCs w:val="24"/>
        </w:rPr>
        <w:t>ă</w:t>
      </w:r>
      <w:r w:rsidR="003034BF" w:rsidRPr="003034BF">
        <w:rPr>
          <w:rFonts w:eastAsia="Times New Roman" w:cs="Calibri"/>
          <w:sz w:val="24"/>
          <w:szCs w:val="24"/>
        </w:rPr>
        <w:t xml:space="preserve">, </w:t>
      </w:r>
      <w:r>
        <w:rPr>
          <w:rFonts w:eastAsia="Times New Roman" w:cs="Calibri"/>
          <w:sz w:val="24"/>
          <w:szCs w:val="24"/>
        </w:rPr>
        <w:t>ș</w:t>
      </w:r>
      <w:r w:rsidR="003034BF" w:rsidRPr="003034BF">
        <w:rPr>
          <w:rFonts w:eastAsia="Times New Roman" w:cs="Calibri"/>
          <w:sz w:val="24"/>
          <w:szCs w:val="24"/>
        </w:rPr>
        <w:t>ocul pre</w:t>
      </w:r>
      <w:r>
        <w:rPr>
          <w:rFonts w:eastAsia="Times New Roman" w:cs="Calibri"/>
          <w:sz w:val="24"/>
          <w:szCs w:val="24"/>
        </w:rPr>
        <w:t>ț</w:t>
      </w:r>
      <w:r w:rsidR="003034BF" w:rsidRPr="003034BF">
        <w:rPr>
          <w:rFonts w:eastAsia="Times New Roman" w:cs="Calibri"/>
          <w:sz w:val="24"/>
          <w:szCs w:val="24"/>
        </w:rPr>
        <w:t>u</w:t>
      </w:r>
      <w:r w:rsidR="003034BF">
        <w:rPr>
          <w:rFonts w:eastAsia="Times New Roman" w:cs="Calibri"/>
          <w:sz w:val="24"/>
          <w:szCs w:val="24"/>
        </w:rPr>
        <w:t>rilor</w:t>
      </w:r>
      <w:r w:rsidR="003034BF" w:rsidRPr="003034BF">
        <w:rPr>
          <w:rFonts w:eastAsia="Times New Roman" w:cs="Calibri"/>
          <w:sz w:val="24"/>
          <w:szCs w:val="24"/>
        </w:rPr>
        <w:t xml:space="preserve"> la energie, efecte ale tensiunilor pe </w:t>
      </w:r>
      <w:r w:rsidRPr="003034BF">
        <w:rPr>
          <w:rFonts w:eastAsia="Times New Roman" w:cs="Calibri"/>
          <w:sz w:val="24"/>
          <w:szCs w:val="24"/>
        </w:rPr>
        <w:t>piețele</w:t>
      </w:r>
      <w:r w:rsidR="003034BF" w:rsidRPr="003034BF">
        <w:rPr>
          <w:rFonts w:eastAsia="Times New Roman" w:cs="Calibri"/>
          <w:sz w:val="24"/>
          <w:szCs w:val="24"/>
        </w:rPr>
        <w:t xml:space="preserve"> </w:t>
      </w:r>
      <w:r w:rsidRPr="003034BF">
        <w:rPr>
          <w:rFonts w:eastAsia="Times New Roman" w:cs="Calibri"/>
          <w:sz w:val="24"/>
          <w:szCs w:val="24"/>
        </w:rPr>
        <w:t>internaționale</w:t>
      </w:r>
      <w:r w:rsidR="003034BF" w:rsidRPr="003034BF">
        <w:rPr>
          <w:rFonts w:eastAsia="Times New Roman" w:cs="Calibri"/>
          <w:sz w:val="24"/>
          <w:szCs w:val="24"/>
        </w:rPr>
        <w:t>), care reclam</w:t>
      </w:r>
      <w:r>
        <w:rPr>
          <w:rFonts w:eastAsia="Times New Roman" w:cs="Calibri"/>
          <w:sz w:val="24"/>
          <w:szCs w:val="24"/>
        </w:rPr>
        <w:t>ă</w:t>
      </w:r>
      <w:r w:rsidR="003034BF" w:rsidRPr="003034BF">
        <w:rPr>
          <w:rFonts w:eastAsia="Times New Roman" w:cs="Calibri"/>
          <w:sz w:val="24"/>
          <w:szCs w:val="24"/>
        </w:rPr>
        <w:t xml:space="preserve"> resurse adecvate, cu nevoia de consolidare bugetar</w:t>
      </w:r>
      <w:r>
        <w:rPr>
          <w:rFonts w:eastAsia="Times New Roman" w:cs="Calibri"/>
          <w:sz w:val="24"/>
          <w:szCs w:val="24"/>
        </w:rPr>
        <w:t>ă</w:t>
      </w:r>
      <w:r w:rsidR="003034BF" w:rsidRPr="003034BF">
        <w:rPr>
          <w:rFonts w:eastAsia="Times New Roman" w:cs="Calibri"/>
          <w:sz w:val="24"/>
          <w:szCs w:val="24"/>
        </w:rPr>
        <w:t>, de reducere vizibil</w:t>
      </w:r>
      <w:r>
        <w:rPr>
          <w:rFonts w:eastAsia="Times New Roman" w:cs="Calibri"/>
          <w:sz w:val="24"/>
          <w:szCs w:val="24"/>
        </w:rPr>
        <w:t>ă</w:t>
      </w:r>
      <w:r w:rsidR="003034BF" w:rsidRPr="003034BF">
        <w:rPr>
          <w:rFonts w:eastAsia="Times New Roman" w:cs="Calibri"/>
          <w:sz w:val="24"/>
          <w:szCs w:val="24"/>
        </w:rPr>
        <w:t xml:space="preserve"> a deficitului bugetar.</w:t>
      </w:r>
    </w:p>
    <w:p w14:paraId="063A3D30" w14:textId="6D0D2C63" w:rsidR="00231CAC" w:rsidRPr="003034BF" w:rsidRDefault="00231CAC" w:rsidP="003034BF">
      <w:pPr>
        <w:spacing w:after="200" w:line="276" w:lineRule="auto"/>
        <w:jc w:val="both"/>
        <w:rPr>
          <w:rFonts w:eastAsia="Times New Roman" w:cs="Calibri"/>
          <w:sz w:val="24"/>
          <w:szCs w:val="24"/>
        </w:rPr>
      </w:pPr>
      <w:r>
        <w:rPr>
          <w:rFonts w:eastAsia="Times New Roman" w:cs="Calibri"/>
          <w:sz w:val="24"/>
          <w:szCs w:val="24"/>
        </w:rPr>
        <w:t xml:space="preserve">În acest context și având în vedere dezideratele menționate, Consiliul Fiscal subliniază din nou că este obligatoriu ca un control riguros al cheltuirii banului public, cheltuieli publice care să </w:t>
      </w:r>
      <w:r w:rsidR="005057CD">
        <w:rPr>
          <w:rFonts w:eastAsia="Times New Roman" w:cs="Calibri"/>
          <w:sz w:val="24"/>
          <w:szCs w:val="24"/>
        </w:rPr>
        <w:t>asigure bunuri publice de bază pentru cetățeni</w:t>
      </w:r>
      <w:r w:rsidR="007C4FAF">
        <w:rPr>
          <w:rFonts w:eastAsia="Times New Roman" w:cs="Calibri"/>
          <w:sz w:val="24"/>
          <w:szCs w:val="24"/>
        </w:rPr>
        <w:t xml:space="preserve"> (sănătate, educație etc.)</w:t>
      </w:r>
      <w:r w:rsidR="005057CD">
        <w:rPr>
          <w:rFonts w:eastAsia="Times New Roman" w:cs="Calibri"/>
          <w:sz w:val="24"/>
          <w:szCs w:val="24"/>
        </w:rPr>
        <w:t xml:space="preserve"> și care concomitent să </w:t>
      </w:r>
      <w:r>
        <w:rPr>
          <w:rFonts w:eastAsia="Times New Roman" w:cs="Calibri"/>
          <w:sz w:val="24"/>
          <w:szCs w:val="24"/>
        </w:rPr>
        <w:t>țină cont de</w:t>
      </w:r>
      <w:r w:rsidR="005057CD">
        <w:rPr>
          <w:rFonts w:eastAsia="Times New Roman" w:cs="Calibri"/>
          <w:sz w:val="24"/>
          <w:szCs w:val="24"/>
        </w:rPr>
        <w:t xml:space="preserve"> constrângerile impuse </w:t>
      </w:r>
      <w:r>
        <w:rPr>
          <w:rFonts w:eastAsia="Times New Roman" w:cs="Calibri"/>
          <w:sz w:val="24"/>
          <w:szCs w:val="24"/>
        </w:rPr>
        <w:t>de consolidare</w:t>
      </w:r>
      <w:r w:rsidR="005057CD">
        <w:rPr>
          <w:rFonts w:eastAsia="Times New Roman" w:cs="Calibri"/>
          <w:sz w:val="24"/>
          <w:szCs w:val="24"/>
        </w:rPr>
        <w:t>a</w:t>
      </w:r>
      <w:r>
        <w:rPr>
          <w:rFonts w:eastAsia="Times New Roman" w:cs="Calibri"/>
          <w:sz w:val="24"/>
          <w:szCs w:val="24"/>
        </w:rPr>
        <w:t xml:space="preserve"> bugetară,</w:t>
      </w:r>
      <w:r w:rsidR="006F4948">
        <w:rPr>
          <w:rFonts w:eastAsia="Times New Roman" w:cs="Calibri"/>
          <w:sz w:val="24"/>
          <w:szCs w:val="24"/>
        </w:rPr>
        <w:t xml:space="preserve"> să fie combinate cu creșterea veniturilor fiscale. Fără o creștere substanțială a veniturilor fiscale va fi practic imposibil să facem față la provocări actuale și viitoare care privesc bugetul public</w:t>
      </w:r>
      <w:r w:rsidR="00A006BA">
        <w:rPr>
          <w:rFonts w:eastAsia="Times New Roman" w:cs="Calibri"/>
          <w:sz w:val="24"/>
          <w:szCs w:val="24"/>
        </w:rPr>
        <w:t>, societatea românească.</w:t>
      </w:r>
    </w:p>
    <w:p w14:paraId="69D87BC1" w14:textId="31108CA2" w:rsidR="004F15ED" w:rsidRDefault="004F15ED" w:rsidP="00D75FA6">
      <w:pPr>
        <w:spacing w:after="200" w:line="276" w:lineRule="auto"/>
        <w:jc w:val="both"/>
        <w:rPr>
          <w:rFonts w:eastAsia="Times New Roman" w:cs="Calibri"/>
          <w:sz w:val="24"/>
          <w:szCs w:val="24"/>
        </w:rPr>
      </w:pPr>
    </w:p>
    <w:p w14:paraId="270F39E7" w14:textId="77777777" w:rsidR="004F15ED" w:rsidRPr="002C2F88" w:rsidRDefault="004F15ED" w:rsidP="004F15ED">
      <w:pPr>
        <w:spacing w:after="200" w:line="276" w:lineRule="auto"/>
        <w:jc w:val="both"/>
        <w:rPr>
          <w:rFonts w:cs="Calibri"/>
          <w:b/>
          <w:i/>
          <w:sz w:val="26"/>
          <w:szCs w:val="26"/>
        </w:rPr>
      </w:pPr>
      <w:r w:rsidRPr="002C2F88">
        <w:rPr>
          <w:rFonts w:cs="Calibri"/>
          <w:b/>
          <w:i/>
          <w:sz w:val="26"/>
          <w:szCs w:val="26"/>
        </w:rPr>
        <w:t>Conformarea cu regulile fiscale</w:t>
      </w:r>
    </w:p>
    <w:p w14:paraId="0E2D2471" w14:textId="77777777" w:rsidR="004F15ED" w:rsidRDefault="004F15ED" w:rsidP="004F15ED">
      <w:pPr>
        <w:spacing w:line="276" w:lineRule="auto"/>
        <w:jc w:val="both"/>
        <w:rPr>
          <w:sz w:val="24"/>
          <w:szCs w:val="24"/>
        </w:rPr>
      </w:pPr>
      <w:r w:rsidRPr="00032438">
        <w:rPr>
          <w:sz w:val="24"/>
          <w:szCs w:val="24"/>
        </w:rPr>
        <w:t>Proiectul celei de</w:t>
      </w:r>
      <w:r>
        <w:rPr>
          <w:sz w:val="24"/>
          <w:szCs w:val="24"/>
        </w:rPr>
        <w:t xml:space="preserve"> a doua</w:t>
      </w:r>
      <w:r w:rsidRPr="00032438">
        <w:rPr>
          <w:sz w:val="24"/>
          <w:szCs w:val="24"/>
        </w:rPr>
        <w:t xml:space="preserve"> rectificări bugetare prevede </w:t>
      </w:r>
      <w:r>
        <w:rPr>
          <w:sz w:val="24"/>
          <w:szCs w:val="24"/>
        </w:rPr>
        <w:t>modificarea</w:t>
      </w:r>
      <w:r w:rsidRPr="00032438">
        <w:rPr>
          <w:sz w:val="24"/>
          <w:szCs w:val="24"/>
        </w:rPr>
        <w:t xml:space="preserve"> plafoanelor </w:t>
      </w:r>
      <w:r>
        <w:rPr>
          <w:sz w:val="24"/>
          <w:szCs w:val="24"/>
        </w:rPr>
        <w:t xml:space="preserve">în termeni nominali ale </w:t>
      </w:r>
      <w:r w:rsidRPr="00032438">
        <w:rPr>
          <w:sz w:val="24"/>
          <w:szCs w:val="24"/>
        </w:rPr>
        <w:t>indicatorilor specificați în cadrul fiscal</w:t>
      </w:r>
      <w:r>
        <w:rPr>
          <w:sz w:val="24"/>
          <w:szCs w:val="24"/>
        </w:rPr>
        <w:t>-</w:t>
      </w:r>
      <w:r w:rsidRPr="00032438">
        <w:rPr>
          <w:sz w:val="24"/>
          <w:szCs w:val="24"/>
        </w:rPr>
        <w:t>bugetar pe anul 202</w:t>
      </w:r>
      <w:r>
        <w:rPr>
          <w:sz w:val="24"/>
          <w:szCs w:val="24"/>
        </w:rPr>
        <w:t>1</w:t>
      </w:r>
      <w:r w:rsidRPr="00032438">
        <w:rPr>
          <w:sz w:val="24"/>
          <w:szCs w:val="24"/>
        </w:rPr>
        <w:t xml:space="preserve"> (stabilite inițial prin Legea nr. </w:t>
      </w:r>
      <w:r>
        <w:rPr>
          <w:sz w:val="24"/>
          <w:szCs w:val="24"/>
        </w:rPr>
        <w:t>14</w:t>
      </w:r>
      <w:r w:rsidRPr="00032438">
        <w:rPr>
          <w:sz w:val="24"/>
          <w:szCs w:val="24"/>
        </w:rPr>
        <w:t>/20</w:t>
      </w:r>
      <w:r>
        <w:rPr>
          <w:sz w:val="24"/>
          <w:szCs w:val="24"/>
        </w:rPr>
        <w:t>21</w:t>
      </w:r>
      <w:r w:rsidRPr="00032438">
        <w:rPr>
          <w:sz w:val="24"/>
          <w:szCs w:val="24"/>
        </w:rPr>
        <w:t xml:space="preserve"> și apoi </w:t>
      </w:r>
      <w:r>
        <w:rPr>
          <w:sz w:val="24"/>
          <w:szCs w:val="24"/>
        </w:rPr>
        <w:t>amendate</w:t>
      </w:r>
      <w:r w:rsidRPr="00032438">
        <w:rPr>
          <w:sz w:val="24"/>
          <w:szCs w:val="24"/>
        </w:rPr>
        <w:t xml:space="preserve"> cu ocazia primei rectificări bugetare prin OUG nr. </w:t>
      </w:r>
      <w:r>
        <w:rPr>
          <w:sz w:val="24"/>
          <w:szCs w:val="24"/>
        </w:rPr>
        <w:t>97</w:t>
      </w:r>
      <w:r w:rsidRPr="00032438">
        <w:rPr>
          <w:sz w:val="24"/>
          <w:szCs w:val="24"/>
        </w:rPr>
        <w:t>/202</w:t>
      </w:r>
      <w:r>
        <w:rPr>
          <w:sz w:val="24"/>
          <w:szCs w:val="24"/>
        </w:rPr>
        <w:t>1</w:t>
      </w:r>
      <w:r w:rsidRPr="00032438">
        <w:rPr>
          <w:sz w:val="24"/>
          <w:szCs w:val="24"/>
        </w:rPr>
        <w:t>) după cum urmează:</w:t>
      </w:r>
    </w:p>
    <w:p w14:paraId="74DBCE80" w14:textId="77777777" w:rsidR="004F15ED" w:rsidRDefault="004F15ED" w:rsidP="004F15ED">
      <w:pPr>
        <w:pStyle w:val="ListParagraph"/>
        <w:numPr>
          <w:ilvl w:val="0"/>
          <w:numId w:val="3"/>
        </w:numPr>
        <w:spacing w:line="276" w:lineRule="auto"/>
        <w:jc w:val="both"/>
        <w:rPr>
          <w:sz w:val="24"/>
          <w:szCs w:val="24"/>
        </w:rPr>
      </w:pPr>
      <w:r w:rsidRPr="00765325">
        <w:rPr>
          <w:sz w:val="24"/>
          <w:szCs w:val="24"/>
        </w:rPr>
        <w:t xml:space="preserve">plafonul nominal al deficitului primar al BGC este </w:t>
      </w:r>
      <w:r>
        <w:rPr>
          <w:sz w:val="24"/>
          <w:szCs w:val="24"/>
        </w:rPr>
        <w:t>diminuat</w:t>
      </w:r>
      <w:r w:rsidRPr="00765325">
        <w:rPr>
          <w:sz w:val="24"/>
          <w:szCs w:val="24"/>
        </w:rPr>
        <w:t xml:space="preserve"> cu </w:t>
      </w:r>
      <w:r>
        <w:rPr>
          <w:sz w:val="24"/>
          <w:szCs w:val="24"/>
        </w:rPr>
        <w:t>0,3</w:t>
      </w:r>
      <w:r w:rsidRPr="00765325">
        <w:rPr>
          <w:sz w:val="24"/>
          <w:szCs w:val="24"/>
        </w:rPr>
        <w:t xml:space="preserve"> mld. lei până la nivelul de 6</w:t>
      </w:r>
      <w:r>
        <w:rPr>
          <w:sz w:val="24"/>
          <w:szCs w:val="24"/>
        </w:rPr>
        <w:t>6,</w:t>
      </w:r>
      <w:r w:rsidRPr="00765325">
        <w:rPr>
          <w:sz w:val="24"/>
          <w:szCs w:val="24"/>
        </w:rPr>
        <w:t>7 mld. lei;</w:t>
      </w:r>
    </w:p>
    <w:p w14:paraId="2F8E0155" w14:textId="77777777" w:rsidR="004F15ED" w:rsidRPr="00135AC9" w:rsidRDefault="004F15ED" w:rsidP="004F15ED">
      <w:pPr>
        <w:pStyle w:val="ListParagraph"/>
        <w:numPr>
          <w:ilvl w:val="0"/>
          <w:numId w:val="3"/>
        </w:numPr>
        <w:spacing w:line="276" w:lineRule="auto"/>
        <w:jc w:val="both"/>
        <w:rPr>
          <w:sz w:val="24"/>
          <w:szCs w:val="24"/>
        </w:rPr>
      </w:pPr>
      <w:r w:rsidRPr="00765325">
        <w:rPr>
          <w:sz w:val="24"/>
          <w:szCs w:val="24"/>
        </w:rPr>
        <w:t xml:space="preserve">plafonul nominal al deficitului BGC este majorat cu </w:t>
      </w:r>
      <w:r>
        <w:rPr>
          <w:sz w:val="24"/>
          <w:szCs w:val="24"/>
        </w:rPr>
        <w:t>1,1</w:t>
      </w:r>
      <w:r w:rsidRPr="00765325">
        <w:rPr>
          <w:sz w:val="24"/>
          <w:szCs w:val="24"/>
        </w:rPr>
        <w:t xml:space="preserve"> mld. lei până la nivelul de </w:t>
      </w:r>
      <w:r>
        <w:rPr>
          <w:sz w:val="24"/>
          <w:szCs w:val="24"/>
        </w:rPr>
        <w:t xml:space="preserve">84,9 </w:t>
      </w:r>
      <w:r w:rsidRPr="00765325">
        <w:rPr>
          <w:sz w:val="24"/>
          <w:szCs w:val="24"/>
        </w:rPr>
        <w:t>mld. lei;</w:t>
      </w:r>
    </w:p>
    <w:p w14:paraId="75D5E507" w14:textId="77777777" w:rsidR="004F15ED" w:rsidRDefault="004F15ED" w:rsidP="004F15ED">
      <w:pPr>
        <w:pStyle w:val="ListParagraph"/>
        <w:numPr>
          <w:ilvl w:val="0"/>
          <w:numId w:val="3"/>
        </w:numPr>
        <w:spacing w:line="276" w:lineRule="auto"/>
        <w:jc w:val="both"/>
        <w:rPr>
          <w:sz w:val="24"/>
          <w:szCs w:val="24"/>
        </w:rPr>
      </w:pPr>
      <w:r w:rsidRPr="00135AC9">
        <w:rPr>
          <w:sz w:val="24"/>
          <w:szCs w:val="24"/>
        </w:rPr>
        <w:t>plafonul nominal al cheltuielilor de personal ale BGC este majorat cu 1,</w:t>
      </w:r>
      <w:r>
        <w:rPr>
          <w:sz w:val="24"/>
          <w:szCs w:val="24"/>
        </w:rPr>
        <w:t>1</w:t>
      </w:r>
      <w:r w:rsidRPr="00135AC9">
        <w:rPr>
          <w:sz w:val="24"/>
          <w:szCs w:val="24"/>
        </w:rPr>
        <w:t xml:space="preserve"> mld. lei până la nivelul de </w:t>
      </w:r>
      <w:r>
        <w:rPr>
          <w:sz w:val="24"/>
          <w:szCs w:val="24"/>
        </w:rPr>
        <w:t>112,3</w:t>
      </w:r>
      <w:r w:rsidRPr="00135AC9">
        <w:rPr>
          <w:sz w:val="24"/>
          <w:szCs w:val="24"/>
        </w:rPr>
        <w:t xml:space="preserve"> mld. lei.</w:t>
      </w:r>
    </w:p>
    <w:p w14:paraId="29C044DD" w14:textId="77777777" w:rsidR="004F15ED" w:rsidRDefault="004F15ED" w:rsidP="004F15ED">
      <w:pPr>
        <w:pStyle w:val="ListParagraph"/>
        <w:numPr>
          <w:ilvl w:val="0"/>
          <w:numId w:val="3"/>
        </w:numPr>
        <w:spacing w:line="276" w:lineRule="auto"/>
        <w:jc w:val="both"/>
        <w:rPr>
          <w:sz w:val="24"/>
          <w:szCs w:val="24"/>
        </w:rPr>
      </w:pPr>
      <w:r w:rsidRPr="00135AC9">
        <w:rPr>
          <w:sz w:val="24"/>
          <w:szCs w:val="24"/>
        </w:rPr>
        <w:t xml:space="preserve">plafonul nominal al cheltuielilor totale ale BGC, exclusiv asistența financiară din partea UE și a altor donatori, este majorat cu </w:t>
      </w:r>
      <w:r>
        <w:rPr>
          <w:sz w:val="24"/>
          <w:szCs w:val="24"/>
        </w:rPr>
        <w:t>8,7</w:t>
      </w:r>
      <w:r w:rsidRPr="00135AC9">
        <w:rPr>
          <w:sz w:val="24"/>
          <w:szCs w:val="24"/>
        </w:rPr>
        <w:t xml:space="preserve"> mld. lei până la nivelul de </w:t>
      </w:r>
      <w:r>
        <w:rPr>
          <w:sz w:val="24"/>
          <w:szCs w:val="24"/>
        </w:rPr>
        <w:t>425,4</w:t>
      </w:r>
      <w:r w:rsidRPr="00135AC9">
        <w:rPr>
          <w:sz w:val="24"/>
          <w:szCs w:val="24"/>
        </w:rPr>
        <w:t xml:space="preserve"> mld. lei</w:t>
      </w:r>
      <w:r>
        <w:rPr>
          <w:sz w:val="24"/>
          <w:szCs w:val="24"/>
        </w:rPr>
        <w:t>.</w:t>
      </w:r>
    </w:p>
    <w:p w14:paraId="10B658CE" w14:textId="1D7A95A5" w:rsidR="00584AF3" w:rsidRDefault="00386F5C" w:rsidP="004F15ED">
      <w:pPr>
        <w:spacing w:line="276" w:lineRule="auto"/>
        <w:jc w:val="both"/>
        <w:rPr>
          <w:sz w:val="24"/>
          <w:szCs w:val="24"/>
        </w:rPr>
      </w:pPr>
      <w:r>
        <w:rPr>
          <w:sz w:val="24"/>
          <w:szCs w:val="24"/>
        </w:rPr>
        <w:lastRenderedPageBreak/>
        <w:t>Creșterea</w:t>
      </w:r>
      <w:r w:rsidR="00584AF3">
        <w:rPr>
          <w:sz w:val="24"/>
          <w:szCs w:val="24"/>
        </w:rPr>
        <w:t xml:space="preserve"> repetată</w:t>
      </w:r>
      <w:r w:rsidR="005870FD">
        <w:rPr>
          <w:sz w:val="24"/>
          <w:szCs w:val="24"/>
        </w:rPr>
        <w:t xml:space="preserve"> </w:t>
      </w:r>
      <w:r w:rsidR="00A006BA">
        <w:rPr>
          <w:sz w:val="24"/>
          <w:szCs w:val="24"/>
        </w:rPr>
        <w:t xml:space="preserve">de-a lungul anilor </w:t>
      </w:r>
      <w:r w:rsidR="005870FD">
        <w:rPr>
          <w:sz w:val="24"/>
          <w:szCs w:val="24"/>
        </w:rPr>
        <w:t>prin derogare</w:t>
      </w:r>
      <w:r w:rsidR="00584AF3">
        <w:rPr>
          <w:sz w:val="24"/>
          <w:szCs w:val="24"/>
        </w:rPr>
        <w:t xml:space="preserve"> a plafoanelor pentru o parte a indicatorilor </w:t>
      </w:r>
      <w:r w:rsidR="00584AF3" w:rsidRPr="00032438">
        <w:rPr>
          <w:sz w:val="24"/>
          <w:szCs w:val="24"/>
        </w:rPr>
        <w:t>specificați în cadrul fiscal</w:t>
      </w:r>
      <w:r w:rsidR="00584AF3">
        <w:rPr>
          <w:sz w:val="24"/>
          <w:szCs w:val="24"/>
        </w:rPr>
        <w:t>-</w:t>
      </w:r>
      <w:r w:rsidR="00584AF3" w:rsidRPr="00032438">
        <w:rPr>
          <w:sz w:val="24"/>
          <w:szCs w:val="24"/>
        </w:rPr>
        <w:t>bugetar</w:t>
      </w:r>
      <w:r w:rsidR="00584AF3">
        <w:rPr>
          <w:sz w:val="24"/>
          <w:szCs w:val="24"/>
        </w:rPr>
        <w:t xml:space="preserve">, </w:t>
      </w:r>
      <w:r w:rsidR="00DC3035">
        <w:rPr>
          <w:sz w:val="24"/>
          <w:szCs w:val="24"/>
        </w:rPr>
        <w:t>operată</w:t>
      </w:r>
      <w:r w:rsidR="00584AF3">
        <w:rPr>
          <w:sz w:val="24"/>
          <w:szCs w:val="24"/>
        </w:rPr>
        <w:t xml:space="preserve"> la majoritatea rectificărilor bugetare, </w:t>
      </w:r>
      <w:r w:rsidR="00DC3035">
        <w:rPr>
          <w:sz w:val="24"/>
          <w:szCs w:val="24"/>
        </w:rPr>
        <w:t xml:space="preserve">arată </w:t>
      </w:r>
      <w:r w:rsidR="005870FD">
        <w:rPr>
          <w:sz w:val="24"/>
          <w:szCs w:val="24"/>
        </w:rPr>
        <w:t>persistența unor slăbiciuni majore în construcția bugetelor publice în România</w:t>
      </w:r>
      <w:r w:rsidR="00864C2F">
        <w:rPr>
          <w:sz w:val="24"/>
          <w:szCs w:val="24"/>
        </w:rPr>
        <w:t xml:space="preserve">, arbitrariu în reorientarea </w:t>
      </w:r>
      <w:r w:rsidR="00055FA7">
        <w:rPr>
          <w:sz w:val="24"/>
          <w:szCs w:val="24"/>
        </w:rPr>
        <w:t xml:space="preserve">alocării </w:t>
      </w:r>
      <w:r w:rsidR="00864C2F">
        <w:rPr>
          <w:sz w:val="24"/>
          <w:szCs w:val="24"/>
        </w:rPr>
        <w:t>unor cheltuieli</w:t>
      </w:r>
      <w:r w:rsidR="00E566CE">
        <w:rPr>
          <w:sz w:val="24"/>
          <w:szCs w:val="24"/>
        </w:rPr>
        <w:t xml:space="preserve">, </w:t>
      </w:r>
      <w:r w:rsidR="00584AF3">
        <w:rPr>
          <w:sz w:val="24"/>
          <w:szCs w:val="24"/>
        </w:rPr>
        <w:t xml:space="preserve">reguli fiscale </w:t>
      </w:r>
      <w:r w:rsidR="005870FD">
        <w:rPr>
          <w:sz w:val="24"/>
          <w:szCs w:val="24"/>
        </w:rPr>
        <w:t>naționale</w:t>
      </w:r>
      <w:r w:rsidR="00DC3035">
        <w:rPr>
          <w:sz w:val="24"/>
          <w:szCs w:val="24"/>
        </w:rPr>
        <w:t xml:space="preserve"> </w:t>
      </w:r>
      <w:r w:rsidR="00E566CE">
        <w:rPr>
          <w:sz w:val="24"/>
          <w:szCs w:val="24"/>
        </w:rPr>
        <w:t xml:space="preserve">ce </w:t>
      </w:r>
      <w:r w:rsidR="009A7D98">
        <w:rPr>
          <w:sz w:val="24"/>
          <w:szCs w:val="24"/>
        </w:rPr>
        <w:t xml:space="preserve">pot </w:t>
      </w:r>
      <w:r w:rsidR="00584AF3">
        <w:rPr>
          <w:sz w:val="24"/>
          <w:szCs w:val="24"/>
        </w:rPr>
        <w:t xml:space="preserve">fi eludate cu ușurință, </w:t>
      </w:r>
      <w:r w:rsidR="00425842">
        <w:rPr>
          <w:sz w:val="24"/>
          <w:szCs w:val="24"/>
        </w:rPr>
        <w:t>ceea ce limitează rolul pe care acestea ar trebui să îl joace în orientarea politicii fiscal-bugetare.</w:t>
      </w:r>
    </w:p>
    <w:p w14:paraId="501EADEC" w14:textId="19C9CB09" w:rsidR="004F15ED" w:rsidRPr="00C71545" w:rsidRDefault="004F15ED" w:rsidP="004F15ED">
      <w:pPr>
        <w:spacing w:line="276" w:lineRule="auto"/>
        <w:jc w:val="both"/>
        <w:rPr>
          <w:sz w:val="24"/>
          <w:szCs w:val="24"/>
        </w:rPr>
      </w:pPr>
      <w:r w:rsidRPr="00C71545">
        <w:rPr>
          <w:sz w:val="24"/>
          <w:szCs w:val="24"/>
        </w:rPr>
        <w:t xml:space="preserve">În </w:t>
      </w:r>
      <w:r>
        <w:rPr>
          <w:sz w:val="24"/>
          <w:szCs w:val="24"/>
        </w:rPr>
        <w:t xml:space="preserve">ceea </w:t>
      </w:r>
      <w:r w:rsidRPr="00C71545">
        <w:rPr>
          <w:sz w:val="24"/>
          <w:szCs w:val="24"/>
        </w:rPr>
        <w:t>ce privește indicatori</w:t>
      </w:r>
      <w:r>
        <w:rPr>
          <w:sz w:val="24"/>
          <w:szCs w:val="24"/>
        </w:rPr>
        <w:t xml:space="preserve">i </w:t>
      </w:r>
      <w:r w:rsidRPr="00C71545">
        <w:rPr>
          <w:sz w:val="24"/>
          <w:szCs w:val="24"/>
        </w:rPr>
        <w:t>exprimați ca pondere în PIB</w:t>
      </w:r>
      <w:r>
        <w:rPr>
          <w:sz w:val="24"/>
          <w:szCs w:val="24"/>
        </w:rPr>
        <w:t>,</w:t>
      </w:r>
      <w:r w:rsidRPr="00C71545">
        <w:rPr>
          <w:sz w:val="24"/>
          <w:szCs w:val="24"/>
        </w:rPr>
        <w:t xml:space="preserve"> se constată că </w:t>
      </w:r>
      <w:r>
        <w:rPr>
          <w:sz w:val="24"/>
          <w:szCs w:val="24"/>
        </w:rPr>
        <w:t xml:space="preserve">aceștia s-au menținut în limitele prevăzute inițial prin Legea </w:t>
      </w:r>
      <w:r w:rsidRPr="00032438">
        <w:rPr>
          <w:sz w:val="24"/>
          <w:szCs w:val="24"/>
        </w:rPr>
        <w:t xml:space="preserve">nr. </w:t>
      </w:r>
      <w:r>
        <w:rPr>
          <w:sz w:val="24"/>
          <w:szCs w:val="24"/>
        </w:rPr>
        <w:t>14</w:t>
      </w:r>
      <w:r w:rsidRPr="00032438">
        <w:rPr>
          <w:sz w:val="24"/>
          <w:szCs w:val="24"/>
        </w:rPr>
        <w:t>/20</w:t>
      </w:r>
      <w:r>
        <w:rPr>
          <w:sz w:val="24"/>
          <w:szCs w:val="24"/>
        </w:rPr>
        <w:t xml:space="preserve">21 (7,16% din PIB în cazul deficitului BGC, respectiv 9,8% din PIB în cazul cheltuielilor de personal ale BGC), ca urmare a majorării proiecției PIB nominal cu 15,4 mld. lei față de estimarea de la prima rectificare. </w:t>
      </w:r>
    </w:p>
    <w:p w14:paraId="44031631" w14:textId="5852B5C7" w:rsidR="004F15ED" w:rsidRDefault="004F15ED" w:rsidP="004F15ED">
      <w:pPr>
        <w:spacing w:line="276" w:lineRule="auto"/>
        <w:jc w:val="both"/>
        <w:rPr>
          <w:sz w:val="24"/>
          <w:szCs w:val="24"/>
        </w:rPr>
      </w:pPr>
      <w:r w:rsidRPr="00135AC9">
        <w:rPr>
          <w:sz w:val="24"/>
          <w:szCs w:val="24"/>
        </w:rPr>
        <w:t xml:space="preserve">Proiectul de ordonanță a Guvernului privind rectificarea bugetului de stat pe anul 2021 stipulează derogările necesare de la regulile fiscale instituite de LRFB și redefinește plafoanele agregatelor bugetare în concordanță cu nivelurile </w:t>
      </w:r>
      <w:r w:rsidR="00BF4D92">
        <w:rPr>
          <w:sz w:val="24"/>
          <w:szCs w:val="24"/>
        </w:rPr>
        <w:t>prevăzute</w:t>
      </w:r>
      <w:r w:rsidRPr="00135AC9">
        <w:rPr>
          <w:sz w:val="24"/>
          <w:szCs w:val="24"/>
        </w:rPr>
        <w:t xml:space="preserve"> în propunerea de rectificare</w:t>
      </w:r>
      <w:r>
        <w:rPr>
          <w:sz w:val="24"/>
          <w:szCs w:val="24"/>
        </w:rPr>
        <w:t>.</w:t>
      </w:r>
    </w:p>
    <w:p w14:paraId="1872972C" w14:textId="77777777" w:rsidR="00362769" w:rsidRDefault="00362769" w:rsidP="00147C19">
      <w:pPr>
        <w:spacing w:line="276" w:lineRule="auto"/>
        <w:jc w:val="both"/>
        <w:rPr>
          <w:sz w:val="24"/>
          <w:szCs w:val="24"/>
        </w:rPr>
      </w:pPr>
    </w:p>
    <w:p w14:paraId="2707A338" w14:textId="1B2C9591" w:rsidR="00147C19" w:rsidRDefault="00DB2AF8" w:rsidP="00147C19">
      <w:pPr>
        <w:spacing w:line="276" w:lineRule="auto"/>
        <w:jc w:val="both"/>
        <w:rPr>
          <w:sz w:val="24"/>
          <w:szCs w:val="24"/>
        </w:rPr>
      </w:pPr>
      <w:r w:rsidRPr="00D75FA6">
        <w:rPr>
          <w:sz w:val="24"/>
          <w:szCs w:val="24"/>
        </w:rPr>
        <w:t xml:space="preserve">Opiniile </w:t>
      </w:r>
      <w:r w:rsidR="00BC0918" w:rsidRPr="00D75FA6">
        <w:rPr>
          <w:sz w:val="24"/>
          <w:szCs w:val="24"/>
        </w:rPr>
        <w:t>ș</w:t>
      </w:r>
      <w:r w:rsidRPr="00D75FA6">
        <w:rPr>
          <w:sz w:val="24"/>
          <w:szCs w:val="24"/>
        </w:rPr>
        <w:t xml:space="preserve">i recomandările formulate mai sus de CF au fost aprobate de Președintele Consiliului Fiscal, conform prevederilor art. 56, alin. (2), lit. d) din Legea nr. 69/2010 republicată, în urma însușirii acestora de către membrii Consiliului, prin vot în ședința din data de </w:t>
      </w:r>
      <w:r w:rsidR="00D75FA6" w:rsidRPr="00D75FA6">
        <w:rPr>
          <w:sz w:val="24"/>
          <w:szCs w:val="24"/>
        </w:rPr>
        <w:t>2</w:t>
      </w:r>
      <w:r w:rsidR="00CC4199">
        <w:rPr>
          <w:sz w:val="24"/>
          <w:szCs w:val="24"/>
        </w:rPr>
        <w:t>6</w:t>
      </w:r>
      <w:r w:rsidR="004473E0" w:rsidRPr="00D75FA6">
        <w:rPr>
          <w:sz w:val="24"/>
          <w:szCs w:val="24"/>
        </w:rPr>
        <w:t xml:space="preserve"> </w:t>
      </w:r>
      <w:r w:rsidR="00D75FA6" w:rsidRPr="00D75FA6">
        <w:rPr>
          <w:sz w:val="24"/>
          <w:szCs w:val="24"/>
        </w:rPr>
        <w:t>noiembrie</w:t>
      </w:r>
      <w:r w:rsidR="004473E0" w:rsidRPr="00D75FA6">
        <w:rPr>
          <w:sz w:val="24"/>
          <w:szCs w:val="24"/>
        </w:rPr>
        <w:t xml:space="preserve"> 2021.</w:t>
      </w:r>
    </w:p>
    <w:p w14:paraId="6B0D624C" w14:textId="77777777" w:rsidR="00F7568E" w:rsidRPr="00D75FA6" w:rsidRDefault="00F7568E" w:rsidP="00147C19">
      <w:pPr>
        <w:spacing w:line="276" w:lineRule="auto"/>
        <w:jc w:val="both"/>
        <w:rPr>
          <w:sz w:val="24"/>
          <w:szCs w:val="24"/>
        </w:rPr>
      </w:pPr>
    </w:p>
    <w:p w14:paraId="7B80FE55" w14:textId="230CA3C4" w:rsidR="00DB2AF8" w:rsidRPr="00D75FA6" w:rsidRDefault="004473E0" w:rsidP="00147C19">
      <w:pPr>
        <w:spacing w:line="276" w:lineRule="auto"/>
        <w:jc w:val="both"/>
        <w:rPr>
          <w:sz w:val="24"/>
          <w:szCs w:val="24"/>
        </w:rPr>
      </w:pPr>
      <w:r w:rsidRPr="00D75FA6">
        <w:rPr>
          <w:sz w:val="24"/>
          <w:szCs w:val="24"/>
        </w:rPr>
        <w:t>2</w:t>
      </w:r>
      <w:r w:rsidR="00CC4199">
        <w:rPr>
          <w:sz w:val="24"/>
          <w:szCs w:val="24"/>
        </w:rPr>
        <w:t>6</w:t>
      </w:r>
      <w:r w:rsidRPr="00D75FA6">
        <w:rPr>
          <w:sz w:val="24"/>
          <w:szCs w:val="24"/>
        </w:rPr>
        <w:t xml:space="preserve"> </w:t>
      </w:r>
      <w:r w:rsidR="00D75FA6" w:rsidRPr="00D75FA6">
        <w:rPr>
          <w:sz w:val="24"/>
          <w:szCs w:val="24"/>
        </w:rPr>
        <w:t>noiembrie</w:t>
      </w:r>
      <w:r w:rsidRPr="00D75FA6">
        <w:rPr>
          <w:sz w:val="24"/>
          <w:szCs w:val="24"/>
        </w:rPr>
        <w:t xml:space="preserve"> 2021</w:t>
      </w:r>
      <w:r w:rsidR="00DB2AF8" w:rsidRPr="00D75FA6">
        <w:rPr>
          <w:sz w:val="24"/>
          <w:szCs w:val="24"/>
        </w:rPr>
        <w:t xml:space="preserve">                                                                                          Președintele Consiliului Fiscal</w:t>
      </w:r>
    </w:p>
    <w:p w14:paraId="2007238B" w14:textId="2D701A2B" w:rsidR="00D6772F" w:rsidRPr="00615202" w:rsidRDefault="00DB2AF8" w:rsidP="00B004EB">
      <w:pPr>
        <w:spacing w:line="276" w:lineRule="auto"/>
        <w:jc w:val="both"/>
        <w:rPr>
          <w:sz w:val="24"/>
          <w:szCs w:val="24"/>
        </w:rPr>
      </w:pPr>
      <w:r w:rsidRPr="00D75FA6">
        <w:rPr>
          <w:sz w:val="24"/>
          <w:szCs w:val="24"/>
        </w:rPr>
        <w:t xml:space="preserve">                                                                                                        </w:t>
      </w:r>
      <w:r w:rsidR="004473E0" w:rsidRPr="00D75FA6">
        <w:rPr>
          <w:sz w:val="24"/>
          <w:szCs w:val="24"/>
        </w:rPr>
        <w:t xml:space="preserve">                           </w:t>
      </w:r>
      <w:r w:rsidRPr="00D75FA6">
        <w:rPr>
          <w:sz w:val="24"/>
          <w:szCs w:val="24"/>
        </w:rPr>
        <w:t>Acad. Daniel Dăian</w:t>
      </w:r>
      <w:r w:rsidR="00615202">
        <w:rPr>
          <w:sz w:val="24"/>
          <w:szCs w:val="24"/>
        </w:rPr>
        <w:t>u</w:t>
      </w:r>
    </w:p>
    <w:p w14:paraId="42B4B771" w14:textId="77777777" w:rsidR="00D6772F" w:rsidRPr="00237B5E" w:rsidRDefault="00D6772F" w:rsidP="00B004EB">
      <w:pPr>
        <w:spacing w:line="276" w:lineRule="auto"/>
        <w:jc w:val="both"/>
        <w:rPr>
          <w:color w:val="FF0000"/>
          <w:sz w:val="24"/>
          <w:szCs w:val="24"/>
        </w:rPr>
      </w:pPr>
    </w:p>
    <w:sectPr w:rsidR="00D6772F" w:rsidRPr="00237B5E" w:rsidSect="00994B72">
      <w:headerReference w:type="default" r:id="rId8"/>
      <w:footerReference w:type="default" r:id="rId9"/>
      <w:headerReference w:type="first" r:id="rId10"/>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0603" w14:textId="77777777" w:rsidR="00364404" w:rsidRDefault="00364404" w:rsidP="00B004EB">
      <w:pPr>
        <w:spacing w:after="0" w:line="240" w:lineRule="auto"/>
      </w:pPr>
      <w:r>
        <w:separator/>
      </w:r>
    </w:p>
  </w:endnote>
  <w:endnote w:type="continuationSeparator" w:id="0">
    <w:p w14:paraId="115A6147" w14:textId="77777777" w:rsidR="00364404" w:rsidRDefault="00364404" w:rsidP="00B0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170807"/>
      <w:docPartObj>
        <w:docPartGallery w:val="Page Numbers (Bottom of Page)"/>
        <w:docPartUnique/>
      </w:docPartObj>
    </w:sdtPr>
    <w:sdtEndPr>
      <w:rPr>
        <w:noProof/>
      </w:rPr>
    </w:sdtEndPr>
    <w:sdtContent>
      <w:p w14:paraId="5924D570" w14:textId="77777777" w:rsidR="00740C1A" w:rsidRDefault="00740C1A">
        <w:pPr>
          <w:pStyle w:val="Footer"/>
          <w:jc w:val="center"/>
        </w:pPr>
        <w:r>
          <w:fldChar w:fldCharType="begin"/>
        </w:r>
        <w:r>
          <w:instrText xml:space="preserve"> PAGE   \* MERGEFORMAT </w:instrText>
        </w:r>
        <w:r>
          <w:fldChar w:fldCharType="separate"/>
        </w:r>
        <w:r w:rsidR="00B64B85">
          <w:rPr>
            <w:noProof/>
          </w:rPr>
          <w:t>5</w:t>
        </w:r>
        <w:r>
          <w:rPr>
            <w:noProof/>
          </w:rPr>
          <w:fldChar w:fldCharType="end"/>
        </w:r>
      </w:p>
    </w:sdtContent>
  </w:sdt>
  <w:p w14:paraId="751D174E" w14:textId="77777777" w:rsidR="00740C1A" w:rsidRDefault="0074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3AF" w14:textId="77777777" w:rsidR="00364404" w:rsidRDefault="00364404" w:rsidP="00B004EB">
      <w:pPr>
        <w:spacing w:after="0" w:line="240" w:lineRule="auto"/>
      </w:pPr>
      <w:r>
        <w:separator/>
      </w:r>
    </w:p>
  </w:footnote>
  <w:footnote w:type="continuationSeparator" w:id="0">
    <w:p w14:paraId="2C8363C7" w14:textId="77777777" w:rsidR="00364404" w:rsidRDefault="00364404" w:rsidP="00B00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D453" w14:textId="77777777" w:rsidR="00740C1A" w:rsidRDefault="00740C1A">
    <w:pPr>
      <w:pStyle w:val="Header"/>
    </w:pPr>
    <w:r>
      <w:rPr>
        <w:noProof/>
        <w:lang w:val="en-US"/>
      </w:rPr>
      <mc:AlternateContent>
        <mc:Choice Requires="wps">
          <w:drawing>
            <wp:anchor distT="0" distB="0" distL="114300" distR="114300" simplePos="0" relativeHeight="251659264" behindDoc="0" locked="0" layoutInCell="0" allowOverlap="1" wp14:anchorId="61C25412" wp14:editId="77202727">
              <wp:simplePos x="0" y="0"/>
              <wp:positionH relativeFrom="page">
                <wp:posOffset>0</wp:posOffset>
              </wp:positionH>
              <wp:positionV relativeFrom="page">
                <wp:posOffset>190500</wp:posOffset>
              </wp:positionV>
              <wp:extent cx="7772400" cy="266700"/>
              <wp:effectExtent l="0" t="0" r="0" b="0"/>
              <wp:wrapNone/>
              <wp:docPr id="2" name="MSIPCMdab5415b91cc48107df1333e" descr="{&quot;HashCode&quot;:57790455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F4B83" w14:textId="77777777" w:rsidR="00740C1A" w:rsidRPr="00FE22F6" w:rsidRDefault="00740C1A" w:rsidP="00FE22F6">
                          <w:pPr>
                            <w:spacing w:after="0"/>
                            <w:jc w:val="right"/>
                            <w:rPr>
                              <w:rFonts w:ascii="Times New Roman" w:hAnsi="Times New Roman"/>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1C25412" id="_x0000_t202" coordsize="21600,21600" o:spt="202" path="m,l,21600r21600,l21600,xe">
              <v:stroke joinstyle="miter"/>
              <v:path gradientshapeok="t" o:connecttype="rect"/>
            </v:shapetype>
            <v:shape id="MSIPCMdab5415b91cc48107df1333e" o:spid="_x0000_s1026" type="#_x0000_t202" alt="{&quot;HashCode&quot;:577904551,&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" o:allowincell="f" filled="f" stroked="f" strokeweight=".5pt">
              <v:textbox inset=",0,20pt,0">
                <w:txbxContent>
                  <w:p w14:paraId="6D9F4B83" w14:textId="77777777" w:rsidR="00740C1A" w:rsidRPr="00FE22F6" w:rsidRDefault="00740C1A" w:rsidP="00FE22F6">
                    <w:pPr>
                      <w:spacing w:after="0"/>
                      <w:jc w:val="right"/>
                      <w:rPr>
                        <w:rFonts w:ascii="Times New Roman" w:hAnsi="Times New Roman"/>
                        <w:color w:val="000000"/>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3028" w14:textId="6B1CEF91" w:rsidR="00897FA8" w:rsidRDefault="00994B72">
    <w:pPr>
      <w:pStyle w:val="Header"/>
    </w:pPr>
    <w:r w:rsidRPr="00135AC9">
      <w:rPr>
        <w:b/>
        <w:noProof/>
        <w:color w:val="0070C0"/>
        <w:sz w:val="28"/>
        <w:szCs w:val="28"/>
      </w:rPr>
      <w:drawing>
        <wp:anchor distT="0" distB="0" distL="114300" distR="114300" simplePos="0" relativeHeight="251661312" behindDoc="0" locked="0" layoutInCell="1" allowOverlap="1" wp14:anchorId="501F882F" wp14:editId="64B84C50">
          <wp:simplePos x="0" y="0"/>
          <wp:positionH relativeFrom="column">
            <wp:posOffset>0</wp:posOffset>
          </wp:positionH>
          <wp:positionV relativeFrom="paragraph">
            <wp:posOffset>169545</wp:posOffset>
          </wp:positionV>
          <wp:extent cx="3118010" cy="609631"/>
          <wp:effectExtent l="0" t="0" r="635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1">
                    <a:extLst>
                      <a:ext uri="{28A0092B-C50C-407E-A947-70E740481C1C}">
                        <a14:useLocalDpi xmlns:a14="http://schemas.microsoft.com/office/drawing/2010/main" val="0"/>
                      </a:ext>
                    </a:extLst>
                  </a:blip>
                  <a:stretch>
                    <a:fillRect/>
                  </a:stretch>
                </pic:blipFill>
                <pic:spPr>
                  <a:xfrm>
                    <a:off x="0" y="0"/>
                    <a:ext cx="3118010" cy="6096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FBC"/>
    <w:multiLevelType w:val="hybridMultilevel"/>
    <w:tmpl w:val="18781078"/>
    <w:lvl w:ilvl="0" w:tplc="DD24312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0AC577C"/>
    <w:multiLevelType w:val="hybridMultilevel"/>
    <w:tmpl w:val="DBC47EC0"/>
    <w:lvl w:ilvl="0" w:tplc="EE2828B4">
      <w:start w:val="1"/>
      <w:numFmt w:val="decimal"/>
      <w:lvlText w:val="%1."/>
      <w:lvlJc w:val="left"/>
      <w:pPr>
        <w:ind w:left="360" w:hanging="360"/>
      </w:pPr>
      <w:rPr>
        <w:b/>
        <w:bCs w:val="0"/>
        <w:i/>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45CD3"/>
    <w:multiLevelType w:val="hybridMultilevel"/>
    <w:tmpl w:val="57C22BFC"/>
    <w:lvl w:ilvl="0" w:tplc="DD243128">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cs="Wingdings" w:hint="default"/>
      </w:rPr>
    </w:lvl>
    <w:lvl w:ilvl="3" w:tplc="04090001" w:tentative="1">
      <w:start w:val="1"/>
      <w:numFmt w:val="bullet"/>
      <w:lvlText w:val=""/>
      <w:lvlJc w:val="left"/>
      <w:pPr>
        <w:ind w:left="3228" w:hanging="360"/>
      </w:pPr>
      <w:rPr>
        <w:rFonts w:ascii="Symbol" w:hAnsi="Symbol" w:cs="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cs="Wingdings" w:hint="default"/>
      </w:rPr>
    </w:lvl>
    <w:lvl w:ilvl="6" w:tplc="04090001" w:tentative="1">
      <w:start w:val="1"/>
      <w:numFmt w:val="bullet"/>
      <w:lvlText w:val=""/>
      <w:lvlJc w:val="left"/>
      <w:pPr>
        <w:ind w:left="5388" w:hanging="360"/>
      </w:pPr>
      <w:rPr>
        <w:rFonts w:ascii="Symbol" w:hAnsi="Symbol" w:cs="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cs="Wingdings" w:hint="default"/>
      </w:rPr>
    </w:lvl>
  </w:abstractNum>
  <w:abstractNum w:abstractNumId="3" w15:restartNumberingAfterBreak="0">
    <w:nsid w:val="117C6401"/>
    <w:multiLevelType w:val="hybridMultilevel"/>
    <w:tmpl w:val="A08A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30867"/>
    <w:multiLevelType w:val="hybridMultilevel"/>
    <w:tmpl w:val="F90CCAC0"/>
    <w:lvl w:ilvl="0" w:tplc="041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DA7063"/>
    <w:multiLevelType w:val="hybridMultilevel"/>
    <w:tmpl w:val="636814DE"/>
    <w:lvl w:ilvl="0" w:tplc="DD2431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77FC2"/>
    <w:multiLevelType w:val="hybridMultilevel"/>
    <w:tmpl w:val="0120ABAE"/>
    <w:lvl w:ilvl="0" w:tplc="0418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CA04FB7"/>
    <w:multiLevelType w:val="hybridMultilevel"/>
    <w:tmpl w:val="D6B8047C"/>
    <w:lvl w:ilvl="0" w:tplc="B15EE954">
      <w:start w:val="1"/>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5D6368"/>
    <w:multiLevelType w:val="hybridMultilevel"/>
    <w:tmpl w:val="920A0F02"/>
    <w:lvl w:ilvl="0" w:tplc="0418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2AAD5FCB"/>
    <w:multiLevelType w:val="hybridMultilevel"/>
    <w:tmpl w:val="8CD43270"/>
    <w:lvl w:ilvl="0" w:tplc="684817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011C"/>
    <w:multiLevelType w:val="hybridMultilevel"/>
    <w:tmpl w:val="929A8EAC"/>
    <w:lvl w:ilvl="0" w:tplc="DD2431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8041F"/>
    <w:multiLevelType w:val="multilevel"/>
    <w:tmpl w:val="8BF48732"/>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9A05BBA"/>
    <w:multiLevelType w:val="hybridMultilevel"/>
    <w:tmpl w:val="724E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80C86"/>
    <w:multiLevelType w:val="hybridMultilevel"/>
    <w:tmpl w:val="2F5EAA7C"/>
    <w:lvl w:ilvl="0" w:tplc="DD243128">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F6A774F"/>
    <w:multiLevelType w:val="hybridMultilevel"/>
    <w:tmpl w:val="E94A4308"/>
    <w:lvl w:ilvl="0" w:tplc="53264DF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428F2C8E"/>
    <w:multiLevelType w:val="hybridMultilevel"/>
    <w:tmpl w:val="FE64EC40"/>
    <w:lvl w:ilvl="0" w:tplc="DD2431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A5813"/>
    <w:multiLevelType w:val="hybridMultilevel"/>
    <w:tmpl w:val="57EEC3C0"/>
    <w:lvl w:ilvl="0" w:tplc="DD2431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90F97"/>
    <w:multiLevelType w:val="hybridMultilevel"/>
    <w:tmpl w:val="B270EC1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D17C9"/>
    <w:multiLevelType w:val="hybridMultilevel"/>
    <w:tmpl w:val="3AFC5104"/>
    <w:lvl w:ilvl="0" w:tplc="DD2431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E25D2"/>
    <w:multiLevelType w:val="hybridMultilevel"/>
    <w:tmpl w:val="3A0A2074"/>
    <w:lvl w:ilvl="0" w:tplc="B15EE954">
      <w:start w:val="1"/>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8B652DB"/>
    <w:multiLevelType w:val="hybridMultilevel"/>
    <w:tmpl w:val="42D8EF26"/>
    <w:lvl w:ilvl="0" w:tplc="DD2431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67BBE"/>
    <w:multiLevelType w:val="hybridMultilevel"/>
    <w:tmpl w:val="01C2E9D6"/>
    <w:lvl w:ilvl="0" w:tplc="DD2431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1682C"/>
    <w:multiLevelType w:val="hybridMultilevel"/>
    <w:tmpl w:val="55B8D0AA"/>
    <w:lvl w:ilvl="0" w:tplc="53264DF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7A696B15"/>
    <w:multiLevelType w:val="hybridMultilevel"/>
    <w:tmpl w:val="A060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AE33AB"/>
    <w:multiLevelType w:val="hybridMultilevel"/>
    <w:tmpl w:val="A4BE9C28"/>
    <w:lvl w:ilvl="0" w:tplc="DD2431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
  </w:num>
  <w:num w:numId="4">
    <w:abstractNumId w:val="1"/>
  </w:num>
  <w:num w:numId="5">
    <w:abstractNumId w:val="3"/>
  </w:num>
  <w:num w:numId="6">
    <w:abstractNumId w:val="12"/>
  </w:num>
  <w:num w:numId="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0"/>
  </w:num>
  <w:num w:numId="10">
    <w:abstractNumId w:val="9"/>
  </w:num>
  <w:num w:numId="11">
    <w:abstractNumId w:val="9"/>
  </w:num>
  <w:num w:numId="12">
    <w:abstractNumId w:val="0"/>
  </w:num>
  <w:num w:numId="13">
    <w:abstractNumId w:val="19"/>
  </w:num>
  <w:num w:numId="14">
    <w:abstractNumId w:val="7"/>
  </w:num>
  <w:num w:numId="15">
    <w:abstractNumId w:val="0"/>
  </w:num>
  <w:num w:numId="16">
    <w:abstractNumId w:val="0"/>
  </w:num>
  <w:num w:numId="17">
    <w:abstractNumId w:val="0"/>
  </w:num>
  <w:num w:numId="18">
    <w:abstractNumId w:val="20"/>
  </w:num>
  <w:num w:numId="19">
    <w:abstractNumId w:val="6"/>
  </w:num>
  <w:num w:numId="20">
    <w:abstractNumId w:val="17"/>
  </w:num>
  <w:num w:numId="21">
    <w:abstractNumId w:val="4"/>
  </w:num>
  <w:num w:numId="22">
    <w:abstractNumId w:val="10"/>
  </w:num>
  <w:num w:numId="23">
    <w:abstractNumId w:val="22"/>
  </w:num>
  <w:num w:numId="24">
    <w:abstractNumId w:val="14"/>
  </w:num>
  <w:num w:numId="25">
    <w:abstractNumId w:val="15"/>
  </w:num>
  <w:num w:numId="26">
    <w:abstractNumId w:val="18"/>
  </w:num>
  <w:num w:numId="27">
    <w:abstractNumId w:val="21"/>
  </w:num>
  <w:num w:numId="28">
    <w:abstractNumId w:val="8"/>
  </w:num>
  <w:num w:numId="29">
    <w:abstractNumId w:val="16"/>
  </w:num>
  <w:num w:numId="30">
    <w:abstractNumId w:val="5"/>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EB"/>
    <w:rsid w:val="00022253"/>
    <w:rsid w:val="00025312"/>
    <w:rsid w:val="00027E86"/>
    <w:rsid w:val="00036E67"/>
    <w:rsid w:val="000401ED"/>
    <w:rsid w:val="00042FD1"/>
    <w:rsid w:val="000454DB"/>
    <w:rsid w:val="00045C0A"/>
    <w:rsid w:val="00055FA7"/>
    <w:rsid w:val="000563CE"/>
    <w:rsid w:val="00056F52"/>
    <w:rsid w:val="00060521"/>
    <w:rsid w:val="000636E5"/>
    <w:rsid w:val="000655C5"/>
    <w:rsid w:val="0006727C"/>
    <w:rsid w:val="000731C5"/>
    <w:rsid w:val="000778A6"/>
    <w:rsid w:val="00081059"/>
    <w:rsid w:val="00081E84"/>
    <w:rsid w:val="0008334D"/>
    <w:rsid w:val="00085343"/>
    <w:rsid w:val="0009273E"/>
    <w:rsid w:val="00093599"/>
    <w:rsid w:val="00095794"/>
    <w:rsid w:val="00095CD4"/>
    <w:rsid w:val="00095F76"/>
    <w:rsid w:val="000A1302"/>
    <w:rsid w:val="000A2F5B"/>
    <w:rsid w:val="000A71E2"/>
    <w:rsid w:val="000B1E34"/>
    <w:rsid w:val="000B2032"/>
    <w:rsid w:val="000B7DDA"/>
    <w:rsid w:val="000C3D87"/>
    <w:rsid w:val="000C6E9B"/>
    <w:rsid w:val="000D05D5"/>
    <w:rsid w:val="000D49D4"/>
    <w:rsid w:val="000D4B88"/>
    <w:rsid w:val="000E44E1"/>
    <w:rsid w:val="000E4AE4"/>
    <w:rsid w:val="000E6FB9"/>
    <w:rsid w:val="000F178B"/>
    <w:rsid w:val="00104D3F"/>
    <w:rsid w:val="0010739D"/>
    <w:rsid w:val="00111F79"/>
    <w:rsid w:val="0011336E"/>
    <w:rsid w:val="001138DD"/>
    <w:rsid w:val="001159E6"/>
    <w:rsid w:val="00115DA2"/>
    <w:rsid w:val="001162CC"/>
    <w:rsid w:val="00124E46"/>
    <w:rsid w:val="001257FE"/>
    <w:rsid w:val="0013188A"/>
    <w:rsid w:val="00133363"/>
    <w:rsid w:val="001356B3"/>
    <w:rsid w:val="00135AC9"/>
    <w:rsid w:val="001375D2"/>
    <w:rsid w:val="0013770F"/>
    <w:rsid w:val="00143EA5"/>
    <w:rsid w:val="0014484E"/>
    <w:rsid w:val="00147C19"/>
    <w:rsid w:val="00150135"/>
    <w:rsid w:val="0015749D"/>
    <w:rsid w:val="001575DC"/>
    <w:rsid w:val="00167617"/>
    <w:rsid w:val="00171041"/>
    <w:rsid w:val="00171D50"/>
    <w:rsid w:val="0017220D"/>
    <w:rsid w:val="00172A90"/>
    <w:rsid w:val="00175ABC"/>
    <w:rsid w:val="001816AE"/>
    <w:rsid w:val="001819AD"/>
    <w:rsid w:val="0018677D"/>
    <w:rsid w:val="00191785"/>
    <w:rsid w:val="00191C0D"/>
    <w:rsid w:val="00193F16"/>
    <w:rsid w:val="00195ED0"/>
    <w:rsid w:val="001B47FB"/>
    <w:rsid w:val="001B6B6D"/>
    <w:rsid w:val="001C486E"/>
    <w:rsid w:val="001D1CC6"/>
    <w:rsid w:val="001D213B"/>
    <w:rsid w:val="001D21D5"/>
    <w:rsid w:val="001D3CFA"/>
    <w:rsid w:val="001D5211"/>
    <w:rsid w:val="001E01E3"/>
    <w:rsid w:val="001E1603"/>
    <w:rsid w:val="001E7B1C"/>
    <w:rsid w:val="001F57D2"/>
    <w:rsid w:val="00201446"/>
    <w:rsid w:val="00201FB8"/>
    <w:rsid w:val="00202D08"/>
    <w:rsid w:val="00205472"/>
    <w:rsid w:val="002065EA"/>
    <w:rsid w:val="00207FFC"/>
    <w:rsid w:val="0021262B"/>
    <w:rsid w:val="0021460A"/>
    <w:rsid w:val="002156D2"/>
    <w:rsid w:val="00215BF6"/>
    <w:rsid w:val="00216141"/>
    <w:rsid w:val="00216C6A"/>
    <w:rsid w:val="0022101B"/>
    <w:rsid w:val="0022412C"/>
    <w:rsid w:val="00226761"/>
    <w:rsid w:val="0023095C"/>
    <w:rsid w:val="00231358"/>
    <w:rsid w:val="00231CAC"/>
    <w:rsid w:val="002376BF"/>
    <w:rsid w:val="00237B5E"/>
    <w:rsid w:val="002440EE"/>
    <w:rsid w:val="00250833"/>
    <w:rsid w:val="00253C99"/>
    <w:rsid w:val="00255FD5"/>
    <w:rsid w:val="0025685D"/>
    <w:rsid w:val="00261EB5"/>
    <w:rsid w:val="00277C73"/>
    <w:rsid w:val="00280CEB"/>
    <w:rsid w:val="00281931"/>
    <w:rsid w:val="00285725"/>
    <w:rsid w:val="00290205"/>
    <w:rsid w:val="00293374"/>
    <w:rsid w:val="002A0D9E"/>
    <w:rsid w:val="002B0CE6"/>
    <w:rsid w:val="002B1E11"/>
    <w:rsid w:val="002C14FC"/>
    <w:rsid w:val="002C4460"/>
    <w:rsid w:val="002C5913"/>
    <w:rsid w:val="002D1499"/>
    <w:rsid w:val="002D42E1"/>
    <w:rsid w:val="002D58C3"/>
    <w:rsid w:val="002D6712"/>
    <w:rsid w:val="002D6FEF"/>
    <w:rsid w:val="002E08AA"/>
    <w:rsid w:val="002E2B83"/>
    <w:rsid w:val="002E5B5A"/>
    <w:rsid w:val="002F0759"/>
    <w:rsid w:val="002F555C"/>
    <w:rsid w:val="002F7C81"/>
    <w:rsid w:val="003009FF"/>
    <w:rsid w:val="003034BF"/>
    <w:rsid w:val="003069FE"/>
    <w:rsid w:val="003076DC"/>
    <w:rsid w:val="003263AC"/>
    <w:rsid w:val="003323BC"/>
    <w:rsid w:val="00334839"/>
    <w:rsid w:val="00343194"/>
    <w:rsid w:val="00356399"/>
    <w:rsid w:val="00360229"/>
    <w:rsid w:val="00362769"/>
    <w:rsid w:val="00362F2B"/>
    <w:rsid w:val="00364404"/>
    <w:rsid w:val="0036746A"/>
    <w:rsid w:val="00372645"/>
    <w:rsid w:val="00373648"/>
    <w:rsid w:val="0037531F"/>
    <w:rsid w:val="0037538E"/>
    <w:rsid w:val="00377B48"/>
    <w:rsid w:val="00377E13"/>
    <w:rsid w:val="00384469"/>
    <w:rsid w:val="003853B8"/>
    <w:rsid w:val="00386F5C"/>
    <w:rsid w:val="0039076C"/>
    <w:rsid w:val="003A011C"/>
    <w:rsid w:val="003A1575"/>
    <w:rsid w:val="003A20A2"/>
    <w:rsid w:val="003A3927"/>
    <w:rsid w:val="003B16CD"/>
    <w:rsid w:val="003B295C"/>
    <w:rsid w:val="003B73E1"/>
    <w:rsid w:val="003C3F01"/>
    <w:rsid w:val="003C72A6"/>
    <w:rsid w:val="003D0905"/>
    <w:rsid w:val="003D3CC8"/>
    <w:rsid w:val="003D4F7E"/>
    <w:rsid w:val="003D7544"/>
    <w:rsid w:val="003E3740"/>
    <w:rsid w:val="003E37E1"/>
    <w:rsid w:val="003E44E8"/>
    <w:rsid w:val="003E64C1"/>
    <w:rsid w:val="003E6EF1"/>
    <w:rsid w:val="003F1BEF"/>
    <w:rsid w:val="0040147A"/>
    <w:rsid w:val="00414DBE"/>
    <w:rsid w:val="00416465"/>
    <w:rsid w:val="00417A89"/>
    <w:rsid w:val="0042340B"/>
    <w:rsid w:val="00425842"/>
    <w:rsid w:val="00427972"/>
    <w:rsid w:val="00427976"/>
    <w:rsid w:val="00430695"/>
    <w:rsid w:val="004336B8"/>
    <w:rsid w:val="00434C71"/>
    <w:rsid w:val="00435788"/>
    <w:rsid w:val="00437AF2"/>
    <w:rsid w:val="0044708C"/>
    <w:rsid w:val="004473E0"/>
    <w:rsid w:val="00447C86"/>
    <w:rsid w:val="004517CE"/>
    <w:rsid w:val="00456B2B"/>
    <w:rsid w:val="004574F6"/>
    <w:rsid w:val="00463CB7"/>
    <w:rsid w:val="00465133"/>
    <w:rsid w:val="004673C0"/>
    <w:rsid w:val="0047228B"/>
    <w:rsid w:val="004756C5"/>
    <w:rsid w:val="004839CD"/>
    <w:rsid w:val="00496944"/>
    <w:rsid w:val="004A596D"/>
    <w:rsid w:val="004A5DF0"/>
    <w:rsid w:val="004A7E49"/>
    <w:rsid w:val="004B0578"/>
    <w:rsid w:val="004C18C7"/>
    <w:rsid w:val="004C1CC7"/>
    <w:rsid w:val="004C5642"/>
    <w:rsid w:val="004C63E7"/>
    <w:rsid w:val="004D0A23"/>
    <w:rsid w:val="004D15FA"/>
    <w:rsid w:val="004E1979"/>
    <w:rsid w:val="004E27CA"/>
    <w:rsid w:val="004E2A1C"/>
    <w:rsid w:val="004E532E"/>
    <w:rsid w:val="004F15ED"/>
    <w:rsid w:val="004F1674"/>
    <w:rsid w:val="004F2542"/>
    <w:rsid w:val="004F2EAE"/>
    <w:rsid w:val="004F7014"/>
    <w:rsid w:val="00502B3E"/>
    <w:rsid w:val="005057CD"/>
    <w:rsid w:val="00506D37"/>
    <w:rsid w:val="0051231E"/>
    <w:rsid w:val="00515A70"/>
    <w:rsid w:val="005241C7"/>
    <w:rsid w:val="005245EE"/>
    <w:rsid w:val="005351A2"/>
    <w:rsid w:val="00536B19"/>
    <w:rsid w:val="00554C5E"/>
    <w:rsid w:val="00565907"/>
    <w:rsid w:val="00565CD3"/>
    <w:rsid w:val="00566718"/>
    <w:rsid w:val="0057529F"/>
    <w:rsid w:val="005806DE"/>
    <w:rsid w:val="00583FA0"/>
    <w:rsid w:val="00584AF3"/>
    <w:rsid w:val="005870FD"/>
    <w:rsid w:val="00593E57"/>
    <w:rsid w:val="0059680D"/>
    <w:rsid w:val="005A48FA"/>
    <w:rsid w:val="005A5B2B"/>
    <w:rsid w:val="005B3A85"/>
    <w:rsid w:val="005B58DA"/>
    <w:rsid w:val="005C141F"/>
    <w:rsid w:val="005C732E"/>
    <w:rsid w:val="005D06A3"/>
    <w:rsid w:val="005D3FF9"/>
    <w:rsid w:val="005D4542"/>
    <w:rsid w:val="005D7006"/>
    <w:rsid w:val="005D7D31"/>
    <w:rsid w:val="005E0DB8"/>
    <w:rsid w:val="005E1BB8"/>
    <w:rsid w:val="005E2404"/>
    <w:rsid w:val="005E3402"/>
    <w:rsid w:val="005E4B91"/>
    <w:rsid w:val="005E757D"/>
    <w:rsid w:val="005F05B6"/>
    <w:rsid w:val="005F1DB9"/>
    <w:rsid w:val="00600933"/>
    <w:rsid w:val="006019AF"/>
    <w:rsid w:val="00602062"/>
    <w:rsid w:val="00605B14"/>
    <w:rsid w:val="00605E8E"/>
    <w:rsid w:val="00605F9E"/>
    <w:rsid w:val="00606899"/>
    <w:rsid w:val="00610C16"/>
    <w:rsid w:val="00611B53"/>
    <w:rsid w:val="00615202"/>
    <w:rsid w:val="00620994"/>
    <w:rsid w:val="006223E1"/>
    <w:rsid w:val="00622A4E"/>
    <w:rsid w:val="00623C50"/>
    <w:rsid w:val="00623E93"/>
    <w:rsid w:val="0064792E"/>
    <w:rsid w:val="00647A4C"/>
    <w:rsid w:val="006610F2"/>
    <w:rsid w:val="0066324E"/>
    <w:rsid w:val="00667095"/>
    <w:rsid w:val="006672C0"/>
    <w:rsid w:val="00672860"/>
    <w:rsid w:val="00675BED"/>
    <w:rsid w:val="00677DF5"/>
    <w:rsid w:val="00683EAB"/>
    <w:rsid w:val="00695BC6"/>
    <w:rsid w:val="006974AC"/>
    <w:rsid w:val="006A1742"/>
    <w:rsid w:val="006A19B2"/>
    <w:rsid w:val="006A1F31"/>
    <w:rsid w:val="006A2883"/>
    <w:rsid w:val="006A69DF"/>
    <w:rsid w:val="006B27C6"/>
    <w:rsid w:val="006B3267"/>
    <w:rsid w:val="006B37CF"/>
    <w:rsid w:val="006B3E58"/>
    <w:rsid w:val="006B42FD"/>
    <w:rsid w:val="006C5FC2"/>
    <w:rsid w:val="006D7569"/>
    <w:rsid w:val="006E72BF"/>
    <w:rsid w:val="006F4948"/>
    <w:rsid w:val="00700C17"/>
    <w:rsid w:val="0070535E"/>
    <w:rsid w:val="00710E41"/>
    <w:rsid w:val="007147A9"/>
    <w:rsid w:val="00715638"/>
    <w:rsid w:val="00715EBA"/>
    <w:rsid w:val="0072550E"/>
    <w:rsid w:val="0073356D"/>
    <w:rsid w:val="00733B08"/>
    <w:rsid w:val="00735608"/>
    <w:rsid w:val="007369F2"/>
    <w:rsid w:val="00740C1A"/>
    <w:rsid w:val="00741786"/>
    <w:rsid w:val="0074243D"/>
    <w:rsid w:val="00747366"/>
    <w:rsid w:val="00747A67"/>
    <w:rsid w:val="00751538"/>
    <w:rsid w:val="0075204C"/>
    <w:rsid w:val="00755210"/>
    <w:rsid w:val="007570CA"/>
    <w:rsid w:val="00757AB4"/>
    <w:rsid w:val="00760709"/>
    <w:rsid w:val="00761558"/>
    <w:rsid w:val="007626AD"/>
    <w:rsid w:val="00764BFE"/>
    <w:rsid w:val="00766432"/>
    <w:rsid w:val="00773246"/>
    <w:rsid w:val="00773A95"/>
    <w:rsid w:val="00773CBF"/>
    <w:rsid w:val="007760AC"/>
    <w:rsid w:val="00776D1F"/>
    <w:rsid w:val="00784B28"/>
    <w:rsid w:val="007A0C6C"/>
    <w:rsid w:val="007A11DD"/>
    <w:rsid w:val="007B0E42"/>
    <w:rsid w:val="007B108E"/>
    <w:rsid w:val="007B36D3"/>
    <w:rsid w:val="007B37D4"/>
    <w:rsid w:val="007B446F"/>
    <w:rsid w:val="007C1363"/>
    <w:rsid w:val="007C28C2"/>
    <w:rsid w:val="007C4FAF"/>
    <w:rsid w:val="007C5804"/>
    <w:rsid w:val="007E15AB"/>
    <w:rsid w:val="007E4D2D"/>
    <w:rsid w:val="007F352A"/>
    <w:rsid w:val="007F4AA1"/>
    <w:rsid w:val="0080210B"/>
    <w:rsid w:val="008021D0"/>
    <w:rsid w:val="00804C0A"/>
    <w:rsid w:val="00806D8F"/>
    <w:rsid w:val="0081155A"/>
    <w:rsid w:val="00811950"/>
    <w:rsid w:val="008150B1"/>
    <w:rsid w:val="00821014"/>
    <w:rsid w:val="00822EAF"/>
    <w:rsid w:val="008318FB"/>
    <w:rsid w:val="008335AD"/>
    <w:rsid w:val="00833906"/>
    <w:rsid w:val="008371C2"/>
    <w:rsid w:val="00837FC4"/>
    <w:rsid w:val="00840B12"/>
    <w:rsid w:val="00841DE7"/>
    <w:rsid w:val="008423C6"/>
    <w:rsid w:val="00843D6A"/>
    <w:rsid w:val="008443F8"/>
    <w:rsid w:val="00844C85"/>
    <w:rsid w:val="008452CA"/>
    <w:rsid w:val="00854066"/>
    <w:rsid w:val="00854946"/>
    <w:rsid w:val="008633A9"/>
    <w:rsid w:val="00864C2F"/>
    <w:rsid w:val="0088277F"/>
    <w:rsid w:val="008837F7"/>
    <w:rsid w:val="008848FB"/>
    <w:rsid w:val="00886AFE"/>
    <w:rsid w:val="00890CD6"/>
    <w:rsid w:val="00894524"/>
    <w:rsid w:val="00897FA8"/>
    <w:rsid w:val="008A4A41"/>
    <w:rsid w:val="008A7B52"/>
    <w:rsid w:val="008B3278"/>
    <w:rsid w:val="008B7D96"/>
    <w:rsid w:val="008C1644"/>
    <w:rsid w:val="008C78DF"/>
    <w:rsid w:val="008D040D"/>
    <w:rsid w:val="008D06FB"/>
    <w:rsid w:val="008D1443"/>
    <w:rsid w:val="008D1980"/>
    <w:rsid w:val="008E1B7E"/>
    <w:rsid w:val="008E1FA3"/>
    <w:rsid w:val="009034E4"/>
    <w:rsid w:val="00904F15"/>
    <w:rsid w:val="00906CA9"/>
    <w:rsid w:val="00923DF7"/>
    <w:rsid w:val="009305F7"/>
    <w:rsid w:val="00936598"/>
    <w:rsid w:val="00941262"/>
    <w:rsid w:val="00945E54"/>
    <w:rsid w:val="00946E0C"/>
    <w:rsid w:val="009502A3"/>
    <w:rsid w:val="009506EE"/>
    <w:rsid w:val="0095304A"/>
    <w:rsid w:val="009535AE"/>
    <w:rsid w:val="00954378"/>
    <w:rsid w:val="0096034C"/>
    <w:rsid w:val="009625EC"/>
    <w:rsid w:val="00963838"/>
    <w:rsid w:val="0096567C"/>
    <w:rsid w:val="009754F9"/>
    <w:rsid w:val="00977019"/>
    <w:rsid w:val="00980EF8"/>
    <w:rsid w:val="00981E1E"/>
    <w:rsid w:val="009836F1"/>
    <w:rsid w:val="0099060C"/>
    <w:rsid w:val="00991FD7"/>
    <w:rsid w:val="009924A8"/>
    <w:rsid w:val="009941CE"/>
    <w:rsid w:val="00994486"/>
    <w:rsid w:val="00994648"/>
    <w:rsid w:val="00994B72"/>
    <w:rsid w:val="009951CE"/>
    <w:rsid w:val="009A3D70"/>
    <w:rsid w:val="009A5831"/>
    <w:rsid w:val="009A5917"/>
    <w:rsid w:val="009A7D98"/>
    <w:rsid w:val="009B02EB"/>
    <w:rsid w:val="009B1127"/>
    <w:rsid w:val="009B4F2B"/>
    <w:rsid w:val="009B5315"/>
    <w:rsid w:val="009C3C8D"/>
    <w:rsid w:val="009C6CF8"/>
    <w:rsid w:val="009D5B8E"/>
    <w:rsid w:val="009D60CF"/>
    <w:rsid w:val="009D6895"/>
    <w:rsid w:val="009D7254"/>
    <w:rsid w:val="009E045B"/>
    <w:rsid w:val="009E1BE8"/>
    <w:rsid w:val="009E5ED5"/>
    <w:rsid w:val="00A006BA"/>
    <w:rsid w:val="00A03D63"/>
    <w:rsid w:val="00A1174B"/>
    <w:rsid w:val="00A14F17"/>
    <w:rsid w:val="00A200D5"/>
    <w:rsid w:val="00A222B9"/>
    <w:rsid w:val="00A241E3"/>
    <w:rsid w:val="00A25C44"/>
    <w:rsid w:val="00A33E2B"/>
    <w:rsid w:val="00A426E9"/>
    <w:rsid w:val="00A43460"/>
    <w:rsid w:val="00A4617E"/>
    <w:rsid w:val="00A52308"/>
    <w:rsid w:val="00A55C9A"/>
    <w:rsid w:val="00A55DC9"/>
    <w:rsid w:val="00A76C71"/>
    <w:rsid w:val="00A7797F"/>
    <w:rsid w:val="00A77AAD"/>
    <w:rsid w:val="00A80390"/>
    <w:rsid w:val="00A85230"/>
    <w:rsid w:val="00A8536C"/>
    <w:rsid w:val="00A853FD"/>
    <w:rsid w:val="00A8556E"/>
    <w:rsid w:val="00A9165F"/>
    <w:rsid w:val="00A9473E"/>
    <w:rsid w:val="00AA1CA0"/>
    <w:rsid w:val="00AA3E5C"/>
    <w:rsid w:val="00AA44F3"/>
    <w:rsid w:val="00AB137E"/>
    <w:rsid w:val="00AB1CC4"/>
    <w:rsid w:val="00AB3A20"/>
    <w:rsid w:val="00AB5710"/>
    <w:rsid w:val="00AB5F98"/>
    <w:rsid w:val="00AB63C4"/>
    <w:rsid w:val="00AB65EC"/>
    <w:rsid w:val="00AC1579"/>
    <w:rsid w:val="00AC533C"/>
    <w:rsid w:val="00AC59A4"/>
    <w:rsid w:val="00AC7143"/>
    <w:rsid w:val="00AD1D0C"/>
    <w:rsid w:val="00AD2445"/>
    <w:rsid w:val="00AD66A4"/>
    <w:rsid w:val="00AE075F"/>
    <w:rsid w:val="00AE30BA"/>
    <w:rsid w:val="00AE55C0"/>
    <w:rsid w:val="00AE7941"/>
    <w:rsid w:val="00AF14D9"/>
    <w:rsid w:val="00AF3D67"/>
    <w:rsid w:val="00AF4F16"/>
    <w:rsid w:val="00AF56C0"/>
    <w:rsid w:val="00B004EB"/>
    <w:rsid w:val="00B02B66"/>
    <w:rsid w:val="00B04E0B"/>
    <w:rsid w:val="00B053AD"/>
    <w:rsid w:val="00B258B8"/>
    <w:rsid w:val="00B262D9"/>
    <w:rsid w:val="00B26C3E"/>
    <w:rsid w:val="00B40A19"/>
    <w:rsid w:val="00B53F70"/>
    <w:rsid w:val="00B544AF"/>
    <w:rsid w:val="00B612A9"/>
    <w:rsid w:val="00B64B85"/>
    <w:rsid w:val="00B66F7F"/>
    <w:rsid w:val="00B71797"/>
    <w:rsid w:val="00B809FB"/>
    <w:rsid w:val="00B81BB6"/>
    <w:rsid w:val="00B92F40"/>
    <w:rsid w:val="00B94A06"/>
    <w:rsid w:val="00B972B4"/>
    <w:rsid w:val="00BA1E17"/>
    <w:rsid w:val="00BA5EFC"/>
    <w:rsid w:val="00BA701F"/>
    <w:rsid w:val="00BA7A5C"/>
    <w:rsid w:val="00BB03CD"/>
    <w:rsid w:val="00BB60F2"/>
    <w:rsid w:val="00BB6A4F"/>
    <w:rsid w:val="00BC0918"/>
    <w:rsid w:val="00BC0F63"/>
    <w:rsid w:val="00BC1FC0"/>
    <w:rsid w:val="00BC2215"/>
    <w:rsid w:val="00BC6830"/>
    <w:rsid w:val="00BD58DB"/>
    <w:rsid w:val="00BD6ACA"/>
    <w:rsid w:val="00BE02D1"/>
    <w:rsid w:val="00BF2C46"/>
    <w:rsid w:val="00BF3971"/>
    <w:rsid w:val="00BF4D68"/>
    <w:rsid w:val="00BF4D92"/>
    <w:rsid w:val="00BF56BE"/>
    <w:rsid w:val="00C13230"/>
    <w:rsid w:val="00C17F9B"/>
    <w:rsid w:val="00C22D96"/>
    <w:rsid w:val="00C2358D"/>
    <w:rsid w:val="00C23696"/>
    <w:rsid w:val="00C2393D"/>
    <w:rsid w:val="00C24CBD"/>
    <w:rsid w:val="00C25999"/>
    <w:rsid w:val="00C25C60"/>
    <w:rsid w:val="00C302C7"/>
    <w:rsid w:val="00C32E69"/>
    <w:rsid w:val="00C4005B"/>
    <w:rsid w:val="00C40628"/>
    <w:rsid w:val="00C419A4"/>
    <w:rsid w:val="00C476CA"/>
    <w:rsid w:val="00C517E9"/>
    <w:rsid w:val="00C6426E"/>
    <w:rsid w:val="00C65024"/>
    <w:rsid w:val="00C70739"/>
    <w:rsid w:val="00C86717"/>
    <w:rsid w:val="00C95C0B"/>
    <w:rsid w:val="00C96F25"/>
    <w:rsid w:val="00CA4044"/>
    <w:rsid w:val="00CA7A82"/>
    <w:rsid w:val="00CC08F2"/>
    <w:rsid w:val="00CC1977"/>
    <w:rsid w:val="00CC2393"/>
    <w:rsid w:val="00CC2D2B"/>
    <w:rsid w:val="00CC4199"/>
    <w:rsid w:val="00CC5FC1"/>
    <w:rsid w:val="00CC621E"/>
    <w:rsid w:val="00CC6CAE"/>
    <w:rsid w:val="00CD015C"/>
    <w:rsid w:val="00CD2C19"/>
    <w:rsid w:val="00CD4EE0"/>
    <w:rsid w:val="00CD5581"/>
    <w:rsid w:val="00CE0C44"/>
    <w:rsid w:val="00CE2AFF"/>
    <w:rsid w:val="00CE4269"/>
    <w:rsid w:val="00CE5060"/>
    <w:rsid w:val="00CE661F"/>
    <w:rsid w:val="00CE7054"/>
    <w:rsid w:val="00CF0494"/>
    <w:rsid w:val="00CF2731"/>
    <w:rsid w:val="00CF2963"/>
    <w:rsid w:val="00D00DCB"/>
    <w:rsid w:val="00D047DA"/>
    <w:rsid w:val="00D05ADC"/>
    <w:rsid w:val="00D14018"/>
    <w:rsid w:val="00D1794E"/>
    <w:rsid w:val="00D25EAC"/>
    <w:rsid w:val="00D27665"/>
    <w:rsid w:val="00D32F92"/>
    <w:rsid w:val="00D35227"/>
    <w:rsid w:val="00D35F57"/>
    <w:rsid w:val="00D43496"/>
    <w:rsid w:val="00D449F7"/>
    <w:rsid w:val="00D455AC"/>
    <w:rsid w:val="00D45A22"/>
    <w:rsid w:val="00D5334F"/>
    <w:rsid w:val="00D56DE0"/>
    <w:rsid w:val="00D572BC"/>
    <w:rsid w:val="00D64B0B"/>
    <w:rsid w:val="00D67465"/>
    <w:rsid w:val="00D6772F"/>
    <w:rsid w:val="00D71A6A"/>
    <w:rsid w:val="00D75FA6"/>
    <w:rsid w:val="00D87DE6"/>
    <w:rsid w:val="00D92370"/>
    <w:rsid w:val="00D94042"/>
    <w:rsid w:val="00DA27B0"/>
    <w:rsid w:val="00DA7229"/>
    <w:rsid w:val="00DB0935"/>
    <w:rsid w:val="00DB0C68"/>
    <w:rsid w:val="00DB2AF8"/>
    <w:rsid w:val="00DB5B74"/>
    <w:rsid w:val="00DC11D9"/>
    <w:rsid w:val="00DC1424"/>
    <w:rsid w:val="00DC1815"/>
    <w:rsid w:val="00DC3035"/>
    <w:rsid w:val="00DC3835"/>
    <w:rsid w:val="00DC781C"/>
    <w:rsid w:val="00DD0E6A"/>
    <w:rsid w:val="00DD2A40"/>
    <w:rsid w:val="00DE515D"/>
    <w:rsid w:val="00DE6031"/>
    <w:rsid w:val="00DF58D4"/>
    <w:rsid w:val="00DF6CFD"/>
    <w:rsid w:val="00E131E0"/>
    <w:rsid w:val="00E14465"/>
    <w:rsid w:val="00E148CA"/>
    <w:rsid w:val="00E15463"/>
    <w:rsid w:val="00E1699B"/>
    <w:rsid w:val="00E23450"/>
    <w:rsid w:val="00E3529D"/>
    <w:rsid w:val="00E37650"/>
    <w:rsid w:val="00E377E9"/>
    <w:rsid w:val="00E42E3D"/>
    <w:rsid w:val="00E43A51"/>
    <w:rsid w:val="00E45102"/>
    <w:rsid w:val="00E52498"/>
    <w:rsid w:val="00E56008"/>
    <w:rsid w:val="00E566CE"/>
    <w:rsid w:val="00E5774E"/>
    <w:rsid w:val="00E71F14"/>
    <w:rsid w:val="00E747AB"/>
    <w:rsid w:val="00E75D42"/>
    <w:rsid w:val="00E8344E"/>
    <w:rsid w:val="00E9751D"/>
    <w:rsid w:val="00EA73EE"/>
    <w:rsid w:val="00EB5F5D"/>
    <w:rsid w:val="00EB6779"/>
    <w:rsid w:val="00EB716A"/>
    <w:rsid w:val="00EC0C34"/>
    <w:rsid w:val="00EC1137"/>
    <w:rsid w:val="00EC1C3B"/>
    <w:rsid w:val="00EC3D74"/>
    <w:rsid w:val="00EC4146"/>
    <w:rsid w:val="00EC4E38"/>
    <w:rsid w:val="00EC6D6D"/>
    <w:rsid w:val="00EC74B5"/>
    <w:rsid w:val="00ED0F7F"/>
    <w:rsid w:val="00ED4140"/>
    <w:rsid w:val="00EE6D09"/>
    <w:rsid w:val="00EE6F08"/>
    <w:rsid w:val="00EE752C"/>
    <w:rsid w:val="00EF2297"/>
    <w:rsid w:val="00EF6FE1"/>
    <w:rsid w:val="00F00453"/>
    <w:rsid w:val="00F036E6"/>
    <w:rsid w:val="00F07819"/>
    <w:rsid w:val="00F1131D"/>
    <w:rsid w:val="00F1371A"/>
    <w:rsid w:val="00F22C20"/>
    <w:rsid w:val="00F245AE"/>
    <w:rsid w:val="00F3217C"/>
    <w:rsid w:val="00F40AD5"/>
    <w:rsid w:val="00F463AF"/>
    <w:rsid w:val="00F50038"/>
    <w:rsid w:val="00F60CE8"/>
    <w:rsid w:val="00F621F1"/>
    <w:rsid w:val="00F679CD"/>
    <w:rsid w:val="00F72891"/>
    <w:rsid w:val="00F73E5B"/>
    <w:rsid w:val="00F7568E"/>
    <w:rsid w:val="00F811C5"/>
    <w:rsid w:val="00F83C05"/>
    <w:rsid w:val="00F91CB5"/>
    <w:rsid w:val="00FA26BA"/>
    <w:rsid w:val="00FA4B7A"/>
    <w:rsid w:val="00FB7DAC"/>
    <w:rsid w:val="00FC1456"/>
    <w:rsid w:val="00FC4AA3"/>
    <w:rsid w:val="00FC5BE7"/>
    <w:rsid w:val="00FC6712"/>
    <w:rsid w:val="00FD0643"/>
    <w:rsid w:val="00FD5AF7"/>
    <w:rsid w:val="00FD63BD"/>
    <w:rsid w:val="00FE22F6"/>
    <w:rsid w:val="00FE7AFA"/>
    <w:rsid w:val="00FF0122"/>
    <w:rsid w:val="00FF1692"/>
    <w:rsid w:val="00FF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8C4A"/>
  <w15:docId w15:val="{EA21A37C-E9BB-4D9C-9385-7C92C2A5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4EB"/>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te subsol"/>
    <w:basedOn w:val="Normal"/>
    <w:link w:val="ListParagraphChar"/>
    <w:uiPriority w:val="34"/>
    <w:qFormat/>
    <w:rsid w:val="00B004EB"/>
    <w:pPr>
      <w:ind w:left="720"/>
      <w:contextualSpacing/>
    </w:p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Fußnotentext Char"/>
    <w:basedOn w:val="Normal"/>
    <w:link w:val="FootnoteTextChar"/>
    <w:uiPriority w:val="99"/>
    <w:semiHidden/>
    <w:unhideWhenUsed/>
    <w:rsid w:val="00B004EB"/>
    <w:pPr>
      <w:spacing w:after="0" w:line="240" w:lineRule="auto"/>
    </w:pPr>
    <w:rPr>
      <w:sz w:val="20"/>
      <w:szCs w:val="20"/>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stile 1 Char"/>
    <w:basedOn w:val="DefaultParagraphFont"/>
    <w:link w:val="FootnoteText"/>
    <w:uiPriority w:val="99"/>
    <w:semiHidden/>
    <w:rsid w:val="00B004EB"/>
    <w:rPr>
      <w:rFonts w:ascii="Calibri" w:eastAsia="Calibri" w:hAnsi="Calibri" w:cs="Times New Roman"/>
      <w:sz w:val="20"/>
      <w:szCs w:val="20"/>
      <w:lang w:val="ro-RO"/>
    </w:rPr>
  </w:style>
  <w:style w:type="character" w:styleId="FootnoteReference">
    <w:name w:val="footnote reference"/>
    <w:aliases w:val="ftref,Footnote Reference Number,Odwołanie przypisu,Footnote Reference_LVL6,Footnote Reference_LVL61,Footnote Reference_LVL62,Footnote Reference_LVL63,Footnote Reference_LVL64,fr,Error-Fußnotenzeichen5,Error-Fußnotenzeichen6"/>
    <w:link w:val="FootnotesymbolCarZchn"/>
    <w:uiPriority w:val="99"/>
    <w:unhideWhenUsed/>
    <w:rsid w:val="00B004EB"/>
    <w:rPr>
      <w:vertAlign w:val="superscript"/>
    </w:rPr>
  </w:style>
  <w:style w:type="table" w:styleId="TableGrid">
    <w:name w:val="Table Grid"/>
    <w:basedOn w:val="TableNormal"/>
    <w:uiPriority w:val="39"/>
    <w:rsid w:val="0075204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2F6"/>
    <w:rPr>
      <w:rFonts w:ascii="Calibri" w:eastAsia="Calibri" w:hAnsi="Calibri" w:cs="Times New Roman"/>
      <w:lang w:val="ro-RO"/>
    </w:rPr>
  </w:style>
  <w:style w:type="paragraph" w:styleId="Footer">
    <w:name w:val="footer"/>
    <w:basedOn w:val="Normal"/>
    <w:link w:val="FooterChar"/>
    <w:uiPriority w:val="99"/>
    <w:unhideWhenUsed/>
    <w:rsid w:val="00FE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2F6"/>
    <w:rPr>
      <w:rFonts w:ascii="Calibri" w:eastAsia="Calibri" w:hAnsi="Calibri" w:cs="Times New Roman"/>
      <w:lang w:val="ro-RO"/>
    </w:rPr>
  </w:style>
  <w:style w:type="character" w:styleId="Hyperlink">
    <w:name w:val="Hyperlink"/>
    <w:basedOn w:val="DefaultParagraphFont"/>
    <w:uiPriority w:val="99"/>
    <w:unhideWhenUsed/>
    <w:rsid w:val="00566718"/>
    <w:rPr>
      <w:color w:val="0563C1" w:themeColor="hyperlink"/>
      <w:u w:val="single"/>
    </w:rPr>
  </w:style>
  <w:style w:type="character" w:styleId="CommentReference">
    <w:name w:val="annotation reference"/>
    <w:basedOn w:val="DefaultParagraphFont"/>
    <w:uiPriority w:val="99"/>
    <w:semiHidden/>
    <w:unhideWhenUsed/>
    <w:rsid w:val="00F463AF"/>
    <w:rPr>
      <w:sz w:val="16"/>
      <w:szCs w:val="16"/>
    </w:rPr>
  </w:style>
  <w:style w:type="paragraph" w:styleId="CommentText">
    <w:name w:val="annotation text"/>
    <w:basedOn w:val="Normal"/>
    <w:link w:val="CommentTextChar"/>
    <w:uiPriority w:val="99"/>
    <w:semiHidden/>
    <w:unhideWhenUsed/>
    <w:rsid w:val="00F463AF"/>
    <w:pPr>
      <w:spacing w:line="240" w:lineRule="auto"/>
    </w:pPr>
    <w:rPr>
      <w:sz w:val="20"/>
      <w:szCs w:val="20"/>
    </w:rPr>
  </w:style>
  <w:style w:type="character" w:customStyle="1" w:styleId="CommentTextChar">
    <w:name w:val="Comment Text Char"/>
    <w:basedOn w:val="DefaultParagraphFont"/>
    <w:link w:val="CommentText"/>
    <w:uiPriority w:val="99"/>
    <w:semiHidden/>
    <w:rsid w:val="00F463AF"/>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F463AF"/>
    <w:rPr>
      <w:b/>
      <w:bCs/>
    </w:rPr>
  </w:style>
  <w:style w:type="character" w:customStyle="1" w:styleId="CommentSubjectChar">
    <w:name w:val="Comment Subject Char"/>
    <w:basedOn w:val="CommentTextChar"/>
    <w:link w:val="CommentSubject"/>
    <w:uiPriority w:val="99"/>
    <w:semiHidden/>
    <w:rsid w:val="00F463AF"/>
    <w:rPr>
      <w:rFonts w:ascii="Calibri" w:eastAsia="Calibri" w:hAnsi="Calibri" w:cs="Times New Roman"/>
      <w:b/>
      <w:bCs/>
      <w:sz w:val="20"/>
      <w:szCs w:val="20"/>
      <w:lang w:val="ro-RO"/>
    </w:rPr>
  </w:style>
  <w:style w:type="paragraph" w:styleId="BalloonText">
    <w:name w:val="Balloon Text"/>
    <w:basedOn w:val="Normal"/>
    <w:link w:val="BalloonTextChar"/>
    <w:uiPriority w:val="99"/>
    <w:semiHidden/>
    <w:unhideWhenUsed/>
    <w:rsid w:val="00F4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AF"/>
    <w:rPr>
      <w:rFonts w:ascii="Segoe UI" w:eastAsia="Calibri" w:hAnsi="Segoe UI" w:cs="Segoe UI"/>
      <w:sz w:val="18"/>
      <w:szCs w:val="18"/>
      <w:lang w:val="ro-R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B94A06"/>
    <w:pPr>
      <w:spacing w:line="240" w:lineRule="exact"/>
      <w:jc w:val="both"/>
    </w:pPr>
    <w:rPr>
      <w:rFonts w:asciiTheme="minorHAnsi" w:eastAsiaTheme="minorHAnsi" w:hAnsiTheme="minorHAnsi" w:cstheme="minorBidi"/>
      <w:vertAlign w:val="superscript"/>
      <w:lang w:val="en-US"/>
    </w:rPr>
  </w:style>
  <w:style w:type="character" w:customStyle="1" w:styleId="ListParagraphChar">
    <w:name w:val="List Paragraph Char"/>
    <w:aliases w:val="Note subsol Char"/>
    <w:basedOn w:val="DefaultParagraphFont"/>
    <w:link w:val="ListParagraph"/>
    <w:uiPriority w:val="34"/>
    <w:locked/>
    <w:rsid w:val="00B02B66"/>
    <w:rPr>
      <w:rFonts w:ascii="Calibri" w:eastAsia="Calibri" w:hAnsi="Calibri" w:cs="Times New Roman"/>
      <w:lang w:val="ro-RO"/>
    </w:rPr>
  </w:style>
  <w:style w:type="table" w:customStyle="1" w:styleId="TableGrid1">
    <w:name w:val="Table Grid1"/>
    <w:basedOn w:val="TableNormal"/>
    <w:next w:val="TableGrid"/>
    <w:uiPriority w:val="39"/>
    <w:rsid w:val="00735608"/>
    <w:pPr>
      <w:spacing w:after="0" w:line="240" w:lineRule="auto"/>
    </w:pPr>
    <w:rPr>
      <w:rFonts w:ascii="Calibri" w:eastAsia="Calibri" w:hAnsi="Calibri" w:cs="Times New Roman"/>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6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1610">
      <w:bodyDiv w:val="1"/>
      <w:marLeft w:val="0"/>
      <w:marRight w:val="0"/>
      <w:marTop w:val="0"/>
      <w:marBottom w:val="0"/>
      <w:divBdr>
        <w:top w:val="none" w:sz="0" w:space="0" w:color="auto"/>
        <w:left w:val="none" w:sz="0" w:space="0" w:color="auto"/>
        <w:bottom w:val="none" w:sz="0" w:space="0" w:color="auto"/>
        <w:right w:val="none" w:sz="0" w:space="0" w:color="auto"/>
      </w:divBdr>
    </w:div>
    <w:div w:id="310597702">
      <w:bodyDiv w:val="1"/>
      <w:marLeft w:val="0"/>
      <w:marRight w:val="0"/>
      <w:marTop w:val="0"/>
      <w:marBottom w:val="0"/>
      <w:divBdr>
        <w:top w:val="none" w:sz="0" w:space="0" w:color="auto"/>
        <w:left w:val="none" w:sz="0" w:space="0" w:color="auto"/>
        <w:bottom w:val="none" w:sz="0" w:space="0" w:color="auto"/>
        <w:right w:val="none" w:sz="0" w:space="0" w:color="auto"/>
      </w:divBdr>
    </w:div>
    <w:div w:id="421143683">
      <w:bodyDiv w:val="1"/>
      <w:marLeft w:val="0"/>
      <w:marRight w:val="0"/>
      <w:marTop w:val="0"/>
      <w:marBottom w:val="0"/>
      <w:divBdr>
        <w:top w:val="none" w:sz="0" w:space="0" w:color="auto"/>
        <w:left w:val="none" w:sz="0" w:space="0" w:color="auto"/>
        <w:bottom w:val="none" w:sz="0" w:space="0" w:color="auto"/>
        <w:right w:val="none" w:sz="0" w:space="0" w:color="auto"/>
      </w:divBdr>
    </w:div>
    <w:div w:id="427123668">
      <w:bodyDiv w:val="1"/>
      <w:marLeft w:val="0"/>
      <w:marRight w:val="0"/>
      <w:marTop w:val="0"/>
      <w:marBottom w:val="0"/>
      <w:divBdr>
        <w:top w:val="none" w:sz="0" w:space="0" w:color="auto"/>
        <w:left w:val="none" w:sz="0" w:space="0" w:color="auto"/>
        <w:bottom w:val="none" w:sz="0" w:space="0" w:color="auto"/>
        <w:right w:val="none" w:sz="0" w:space="0" w:color="auto"/>
      </w:divBdr>
    </w:div>
    <w:div w:id="451754488">
      <w:bodyDiv w:val="1"/>
      <w:marLeft w:val="0"/>
      <w:marRight w:val="0"/>
      <w:marTop w:val="0"/>
      <w:marBottom w:val="0"/>
      <w:divBdr>
        <w:top w:val="none" w:sz="0" w:space="0" w:color="auto"/>
        <w:left w:val="none" w:sz="0" w:space="0" w:color="auto"/>
        <w:bottom w:val="none" w:sz="0" w:space="0" w:color="auto"/>
        <w:right w:val="none" w:sz="0" w:space="0" w:color="auto"/>
      </w:divBdr>
    </w:div>
    <w:div w:id="487745215">
      <w:bodyDiv w:val="1"/>
      <w:marLeft w:val="0"/>
      <w:marRight w:val="0"/>
      <w:marTop w:val="0"/>
      <w:marBottom w:val="0"/>
      <w:divBdr>
        <w:top w:val="none" w:sz="0" w:space="0" w:color="auto"/>
        <w:left w:val="none" w:sz="0" w:space="0" w:color="auto"/>
        <w:bottom w:val="none" w:sz="0" w:space="0" w:color="auto"/>
        <w:right w:val="none" w:sz="0" w:space="0" w:color="auto"/>
      </w:divBdr>
    </w:div>
    <w:div w:id="522672717">
      <w:bodyDiv w:val="1"/>
      <w:marLeft w:val="0"/>
      <w:marRight w:val="0"/>
      <w:marTop w:val="0"/>
      <w:marBottom w:val="0"/>
      <w:divBdr>
        <w:top w:val="none" w:sz="0" w:space="0" w:color="auto"/>
        <w:left w:val="none" w:sz="0" w:space="0" w:color="auto"/>
        <w:bottom w:val="none" w:sz="0" w:space="0" w:color="auto"/>
        <w:right w:val="none" w:sz="0" w:space="0" w:color="auto"/>
      </w:divBdr>
    </w:div>
    <w:div w:id="604582735">
      <w:bodyDiv w:val="1"/>
      <w:marLeft w:val="0"/>
      <w:marRight w:val="0"/>
      <w:marTop w:val="0"/>
      <w:marBottom w:val="0"/>
      <w:divBdr>
        <w:top w:val="none" w:sz="0" w:space="0" w:color="auto"/>
        <w:left w:val="none" w:sz="0" w:space="0" w:color="auto"/>
        <w:bottom w:val="none" w:sz="0" w:space="0" w:color="auto"/>
        <w:right w:val="none" w:sz="0" w:space="0" w:color="auto"/>
      </w:divBdr>
    </w:div>
    <w:div w:id="876937707">
      <w:bodyDiv w:val="1"/>
      <w:marLeft w:val="0"/>
      <w:marRight w:val="0"/>
      <w:marTop w:val="0"/>
      <w:marBottom w:val="0"/>
      <w:divBdr>
        <w:top w:val="none" w:sz="0" w:space="0" w:color="auto"/>
        <w:left w:val="none" w:sz="0" w:space="0" w:color="auto"/>
        <w:bottom w:val="none" w:sz="0" w:space="0" w:color="auto"/>
        <w:right w:val="none" w:sz="0" w:space="0" w:color="auto"/>
      </w:divBdr>
    </w:div>
    <w:div w:id="976640789">
      <w:bodyDiv w:val="1"/>
      <w:marLeft w:val="0"/>
      <w:marRight w:val="0"/>
      <w:marTop w:val="0"/>
      <w:marBottom w:val="0"/>
      <w:divBdr>
        <w:top w:val="none" w:sz="0" w:space="0" w:color="auto"/>
        <w:left w:val="none" w:sz="0" w:space="0" w:color="auto"/>
        <w:bottom w:val="none" w:sz="0" w:space="0" w:color="auto"/>
        <w:right w:val="none" w:sz="0" w:space="0" w:color="auto"/>
      </w:divBdr>
    </w:div>
    <w:div w:id="1279944687">
      <w:bodyDiv w:val="1"/>
      <w:marLeft w:val="0"/>
      <w:marRight w:val="0"/>
      <w:marTop w:val="0"/>
      <w:marBottom w:val="0"/>
      <w:divBdr>
        <w:top w:val="none" w:sz="0" w:space="0" w:color="auto"/>
        <w:left w:val="none" w:sz="0" w:space="0" w:color="auto"/>
        <w:bottom w:val="none" w:sz="0" w:space="0" w:color="auto"/>
        <w:right w:val="none" w:sz="0" w:space="0" w:color="auto"/>
      </w:divBdr>
    </w:div>
    <w:div w:id="1281306597">
      <w:bodyDiv w:val="1"/>
      <w:marLeft w:val="0"/>
      <w:marRight w:val="0"/>
      <w:marTop w:val="0"/>
      <w:marBottom w:val="0"/>
      <w:divBdr>
        <w:top w:val="none" w:sz="0" w:space="0" w:color="auto"/>
        <w:left w:val="none" w:sz="0" w:space="0" w:color="auto"/>
        <w:bottom w:val="none" w:sz="0" w:space="0" w:color="auto"/>
        <w:right w:val="none" w:sz="0" w:space="0" w:color="auto"/>
      </w:divBdr>
    </w:div>
    <w:div w:id="1690791118">
      <w:bodyDiv w:val="1"/>
      <w:marLeft w:val="0"/>
      <w:marRight w:val="0"/>
      <w:marTop w:val="0"/>
      <w:marBottom w:val="0"/>
      <w:divBdr>
        <w:top w:val="none" w:sz="0" w:space="0" w:color="auto"/>
        <w:left w:val="none" w:sz="0" w:space="0" w:color="auto"/>
        <w:bottom w:val="none" w:sz="0" w:space="0" w:color="auto"/>
        <w:right w:val="none" w:sz="0" w:space="0" w:color="auto"/>
      </w:divBdr>
    </w:div>
    <w:div w:id="21283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2C52B-799C-4A26-9480-052C8A18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13601</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dc:creator>
  <cp:lastModifiedBy>codruta sederias</cp:lastModifiedBy>
  <cp:revision>2</cp:revision>
  <dcterms:created xsi:type="dcterms:W3CDTF">2021-11-26T13:00:00Z</dcterms:created>
  <dcterms:modified xsi:type="dcterms:W3CDTF">2021-11-26T13:00:00Z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iteId">
    <vt:lpwstr>c4f8f904-47e9-4e03-8a3a-90619d4a24a0</vt:lpwstr>
  </property>
  <property fmtid="{D5CDD505-2E9C-101B-9397-08002B2CF9AE}" pid="4" name="MSIP_Label_d4854e4d-cbd9-4add-afce-3efecf8cc4fb_Owner">
    <vt:lpwstr>Bogdan.Cozmanca@bnr.ro</vt:lpwstr>
  </property>
  <property fmtid="{D5CDD505-2E9C-101B-9397-08002B2CF9AE}" pid="5" name="MSIP_Label_d4854e4d-cbd9-4add-afce-3efecf8cc4fb_SetDate">
    <vt:lpwstr>2021-08-18T06:59:08.2220425Z</vt:lpwstr>
  </property>
  <property fmtid="{D5CDD505-2E9C-101B-9397-08002B2CF9AE}" pid="6" name="MSIP_Label_d4854e4d-cbd9-4add-afce-3efecf8cc4fb_Name">
    <vt:lpwstr>Extern</vt:lpwstr>
  </property>
  <property fmtid="{D5CDD505-2E9C-101B-9397-08002B2CF9AE}" pid="7" name="MSIP_Label_d4854e4d-cbd9-4add-afce-3efecf8cc4fb_Application">
    <vt:lpwstr>Microsoft Azure Information Protection</vt:lpwstr>
  </property>
  <property fmtid="{D5CDD505-2E9C-101B-9397-08002B2CF9AE}" pid="8" name="MSIP_Label_d4854e4d-cbd9-4add-afce-3efecf8cc4fb_ActionId">
    <vt:lpwstr>761ad271-2dd1-4811-a0d5-49021903a4a0</vt:lpwstr>
  </property>
  <property fmtid="{D5CDD505-2E9C-101B-9397-08002B2CF9AE}" pid="9" name="MSIP_Label_d4854e4d-cbd9-4add-afce-3efecf8cc4fb_Extended_MSFT_Method">
    <vt:lpwstr>Manual</vt:lpwstr>
  </property>
  <property fmtid="{D5CDD505-2E9C-101B-9397-08002B2CF9AE}" pid="10" name="Sensitivity">
    <vt:lpwstr>Extern</vt:lpwstr>
  </property>
</Properties>
</file>