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Proiect de Lege </w:t>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privind adoptarea unor măsuri referitoare la infrastructuri informatice și de comunicații de interes național şi condiţiile implementării rețelelor 5G</w:t>
      </w:r>
    </w:p>
    <w:p w:rsidR="00000000" w:rsidDel="00000000" w:rsidP="00000000" w:rsidRDefault="00000000" w:rsidRPr="00000000" w14:paraId="00000004">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Art. 1.</w:t>
      </w:r>
      <w:r w:rsidDel="00000000" w:rsidR="00000000" w:rsidRPr="00000000">
        <w:rPr>
          <w:rFonts w:ascii="Times New Roman" w:cs="Times New Roman" w:eastAsia="Times New Roman" w:hAnsi="Times New Roman"/>
          <w:sz w:val="24"/>
          <w:szCs w:val="24"/>
          <w:rtl w:val="0"/>
        </w:rPr>
        <w:t xml:space="preserve"> –  Prezenta lege are drept scop adoptarea unor măsuri referitoare la autorizarea producătorilor de tehnologii, echipamente și programe software utilizate în</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cadrul infrastructurilor informatice și de comunicații de interes național, precum şi în reţelele de comunicaţii electronice prin intermediul cărora se asigură servicii de comunicaţii electronice de tip 5G, denumite în continuare reţele 5G, în vederea eliminării riscurilor la adresa securității naționale și apărării naționale.</w:t>
      </w:r>
    </w:p>
    <w:p w:rsidR="00000000" w:rsidDel="00000000" w:rsidP="00000000" w:rsidRDefault="00000000" w:rsidRPr="00000000" w14:paraId="00000007">
      <w:pPr>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w:t>
      </w:r>
      <w:r w:rsidDel="00000000" w:rsidR="00000000" w:rsidRPr="00000000">
        <w:rPr>
          <w:rFonts w:ascii="Times New Roman" w:cs="Times New Roman" w:eastAsia="Times New Roman" w:hAnsi="Times New Roman"/>
          <w:sz w:val="24"/>
          <w:szCs w:val="24"/>
          <w:rtl w:val="0"/>
        </w:rPr>
        <w:t xml:space="preserve">. – În sensul prezentei legi, termenii şi expresiile de mai jos au următoarele semnificaţii:</w:t>
      </w:r>
    </w:p>
    <w:p w:rsidR="00000000" w:rsidDel="00000000" w:rsidP="00000000" w:rsidRDefault="00000000" w:rsidRPr="00000000" w14:paraId="00000009">
      <w:pPr>
        <w:numPr>
          <w:ilvl w:val="0"/>
          <w:numId w:val="2"/>
        </w:numPr>
        <w:spacing w:after="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echipament terminal reprezintă echipamentul conectat în mod direct la interfața infrastructurilor informatice și de comunicații de interes național sau interfaţa unei rețele 5G;</w:t>
      </w:r>
    </w:p>
    <w:p w:rsidR="00000000" w:rsidDel="00000000" w:rsidP="00000000" w:rsidRDefault="00000000" w:rsidRPr="00000000" w14:paraId="0000000A">
      <w:pPr>
        <w:numPr>
          <w:ilvl w:val="0"/>
          <w:numId w:val="2"/>
        </w:numPr>
        <w:spacing w:after="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infrastructura informatică și de comunicații de interes naţional - infrastructura informatică și de comunicații esenţială pentru menţinerea funcţiilor vitale ale societăţii, a sănătăţii, siguranţei, securităţii, bunăstării sociale ori economice a persoanelor şi a cărei perturbare sau distrugere ar avea un impact semnificativ la nivel naţional ca urmare a incapacităţii de a menţine respectivele funcţii;</w:t>
      </w:r>
    </w:p>
    <w:p w:rsidR="00000000" w:rsidDel="00000000" w:rsidP="00000000" w:rsidRDefault="00000000" w:rsidRPr="00000000" w14:paraId="0000000B">
      <w:pPr>
        <w:numPr>
          <w:ilvl w:val="0"/>
          <w:numId w:val="2"/>
        </w:numPr>
        <w:spacing w:after="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infrastructura informatică și de comunicații - sisteme informatice și de comunicații interconectate prin linii de comunicaţii (fibră optică, linii satelitare, conexiuni în spectrul radio, linii terestre etc.), utilizate pentru a furniza servicii informatice și/sau de comunicații;</w:t>
      </w:r>
    </w:p>
    <w:p w:rsidR="00000000" w:rsidDel="00000000" w:rsidP="00000000" w:rsidRDefault="00000000" w:rsidRPr="00000000" w14:paraId="0000000C">
      <w:pPr>
        <w:numPr>
          <w:ilvl w:val="0"/>
          <w:numId w:val="2"/>
        </w:numPr>
        <w:spacing w:after="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producător reprezintă orice persoană fizică sau juridică ce proiectează, fabrică şi/sau comercializează tehnologii, echipamente și programe software sub numele sau marca sa;</w:t>
      </w:r>
    </w:p>
    <w:p w:rsidR="00000000" w:rsidDel="00000000" w:rsidP="00000000" w:rsidRDefault="00000000" w:rsidRPr="00000000" w14:paraId="0000000D">
      <w:pPr>
        <w:numPr>
          <w:ilvl w:val="0"/>
          <w:numId w:val="2"/>
        </w:numPr>
        <w:spacing w:after="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reţelele 5G reprezintă ansamblul elementelor infrastructurilor de reţea pentru tehnologia de comunicaţii mobile şi fără fir utilizată pentru conectivitate şi servicii cu valoare adăugată cu caracteristici de performanţă avansată, cum ar fi rate şi capacitate de date foarte mari, comunicaţii cu latenţă mică, fiabilitate extrem de ridicată sau acceptarea unui număr mare de dispozitive conectate; acestea cuprind şi elemente ale reţelei tradiţionale, bazate pe tehnologii de comunicaţii mobile şi fără fir din generaţii anterioare, precum 4G sau 3G;</w:t>
      </w:r>
    </w:p>
    <w:p w:rsidR="00000000" w:rsidDel="00000000" w:rsidP="00000000" w:rsidRDefault="00000000" w:rsidRPr="00000000" w14:paraId="0000000E">
      <w:pPr>
        <w:numPr>
          <w:ilvl w:val="0"/>
          <w:numId w:val="2"/>
        </w:numPr>
        <w:spacing w:after="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riscurile, amenințările şi vulnerabilitățile la adresa securității naționale și/sau apărării naționale au înțelesul conferit prin Strategia Naţională de Apărare a Ţării pentru perioada 2020-2024, aprobată prin Hotărârea Parlamentului nr. 22/2020;</w:t>
      </w:r>
    </w:p>
    <w:p w:rsidR="00000000" w:rsidDel="00000000" w:rsidP="00000000" w:rsidRDefault="00000000" w:rsidRPr="00000000" w14:paraId="0000000F">
      <w:pPr>
        <w:numPr>
          <w:ilvl w:val="0"/>
          <w:numId w:val="2"/>
        </w:numPr>
        <w:spacing w:after="0"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servicii de comunicaţii electronice de tip 5G reprezintă serviciile de comunicaţii electronice furnizate prin intermediul reţelelor 5G.</w:t>
      </w:r>
    </w:p>
    <w:p w:rsidR="00000000" w:rsidDel="00000000" w:rsidP="00000000" w:rsidRDefault="00000000" w:rsidRPr="00000000" w14:paraId="00000010">
      <w:pPr>
        <w:spacing w:after="0" w:line="360" w:lineRule="auto"/>
        <w:ind w:left="10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3.</w:t>
      </w:r>
      <w:r w:rsidDel="00000000" w:rsidR="00000000" w:rsidRPr="00000000">
        <w:rPr>
          <w:rFonts w:ascii="Times New Roman" w:cs="Times New Roman" w:eastAsia="Times New Roman" w:hAnsi="Times New Roman"/>
          <w:sz w:val="24"/>
          <w:szCs w:val="24"/>
          <w:rtl w:val="0"/>
        </w:rPr>
        <w:t xml:space="preserve"> – (1) Pentru realizarea scopului prevăzut la art. 1 alin. (1), utilizarea de tehnologii, echipamente și programe software în cadrul infrastructurilor informatice și de comunicații de interes național, precum şi în rețelele 5G, cu excepția echipamentelor terminale folosite de utilizatorii finali, este condiționată de obținerea de către producători a unei autorizări, în condiţiile prezentei legi.</w:t>
      </w:r>
    </w:p>
    <w:p w:rsidR="00000000" w:rsidDel="00000000" w:rsidP="00000000" w:rsidRDefault="00000000" w:rsidRPr="00000000" w14:paraId="0000001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Autorizarea prevăzută la alin. (1) se acordă, prin decizie a Prim-Ministrului, pe baza avizului conform al Consiliului Suprem de Apărare a Ţării, denumit în continuare </w:t>
      </w:r>
      <w:r w:rsidDel="00000000" w:rsidR="00000000" w:rsidRPr="00000000">
        <w:rPr>
          <w:rFonts w:ascii="Times New Roman" w:cs="Times New Roman" w:eastAsia="Times New Roman" w:hAnsi="Times New Roman"/>
          <w:i w:val="1"/>
          <w:sz w:val="24"/>
          <w:szCs w:val="24"/>
          <w:rtl w:val="0"/>
        </w:rPr>
        <w:t xml:space="preserve">CSAT</w:t>
      </w:r>
      <w:r w:rsidDel="00000000" w:rsidR="00000000" w:rsidRPr="00000000">
        <w:rPr>
          <w:rFonts w:ascii="Times New Roman" w:cs="Times New Roman" w:eastAsia="Times New Roman" w:hAnsi="Times New Roman"/>
          <w:sz w:val="24"/>
          <w:szCs w:val="24"/>
          <w:rtl w:val="0"/>
        </w:rPr>
        <w:t xml:space="preserve">, în termen de maximum 4 luni de la data solicitării.</w:t>
      </w:r>
    </w:p>
    <w:p w:rsidR="00000000" w:rsidDel="00000000" w:rsidP="00000000" w:rsidRDefault="00000000" w:rsidRPr="00000000" w14:paraId="00000013">
      <w:pPr>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4.</w:t>
      </w:r>
      <w:r w:rsidDel="00000000" w:rsidR="00000000" w:rsidRPr="00000000">
        <w:rPr>
          <w:rFonts w:ascii="Times New Roman" w:cs="Times New Roman" w:eastAsia="Times New Roman" w:hAnsi="Times New Roman"/>
          <w:sz w:val="24"/>
          <w:szCs w:val="24"/>
          <w:rtl w:val="0"/>
        </w:rPr>
        <w:t xml:space="preserve"> – (1) Solicitarea pentru obţinerea autorizării prevăzute la art. 3 se depune la Ministerul Transporturilor, Infrastructurii şi Comunicaţiilor, care se transmite de îndată la CSAT.</w:t>
      </w:r>
    </w:p>
    <w:p w:rsidR="00000000" w:rsidDel="00000000" w:rsidP="00000000" w:rsidRDefault="00000000" w:rsidRPr="00000000" w14:paraId="0000001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Solicitarea constă într-o scrisoare de intenţie semnată de reprezentantul legal al producătorului, însoțită de:</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de identificare, inclusiv datele reprezentanților legali și limitele împuternicirii acordate;</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structura de acţionariat a producătorului și a grupului de societăți din care face parte, inclusiv informații detaliate privind societatea-mamă;</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declaraţie pe proprie răspundere care să ateste că producătorul îndeplineşte cumulativ următoarele condiţii:</w:t>
      </w:r>
    </w:p>
    <w:p w:rsidR="00000000" w:rsidDel="00000000" w:rsidP="00000000" w:rsidRDefault="00000000" w:rsidRPr="00000000" w14:paraId="0000001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 se află sub controlul unui guvern străin, în lipsa unui sistem juridic independent;</w:t>
      </w:r>
    </w:p>
    <w:p w:rsidR="00000000" w:rsidDel="00000000" w:rsidP="00000000" w:rsidRDefault="00000000" w:rsidRPr="00000000" w14:paraId="0000001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o structură transparentă a acţionariatului;</w:t>
      </w:r>
    </w:p>
    <w:p w:rsidR="00000000" w:rsidDel="00000000" w:rsidP="00000000" w:rsidRDefault="00000000" w:rsidRPr="00000000" w14:paraId="0000001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 are cunoştinţă de un istoric de conduită corporativă neetică;</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21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supune unui sistem juridic care impune practici corporative transparente.</w:t>
      </w:r>
    </w:p>
    <w:p w:rsidR="00000000" w:rsidDel="00000000" w:rsidP="00000000" w:rsidRDefault="00000000" w:rsidRPr="00000000" w14:paraId="0000001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Datele prevăzute la alin. (2) se transmit în format fizic sau prin mijloace electronice semnate cu semnătură electronică calificată, în limba română.</w:t>
      </w:r>
    </w:p>
    <w:p w:rsidR="00000000" w:rsidDel="00000000" w:rsidP="00000000" w:rsidRDefault="00000000" w:rsidRPr="00000000" w14:paraId="0000001E">
      <w:pPr>
        <w:spacing w:after="0" w:line="36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5 </w:t>
      </w:r>
      <w:r w:rsidDel="00000000" w:rsidR="00000000" w:rsidRPr="00000000">
        <w:rPr>
          <w:rFonts w:ascii="Times New Roman" w:cs="Times New Roman" w:eastAsia="Times New Roman" w:hAnsi="Times New Roman"/>
          <w:sz w:val="24"/>
          <w:szCs w:val="24"/>
          <w:rtl w:val="0"/>
        </w:rPr>
        <w:t xml:space="preserve">– (1) Avizul conform prevăzut la art. 3 alin. (2) se fundamentează pe evaluări din perspectiva riscurilor, ameninţărilor şi vulnerabilităţilor la adresa securității naționale și/sau apărării naționale. </w:t>
      </w:r>
    </w:p>
    <w:p w:rsidR="00000000" w:rsidDel="00000000" w:rsidP="00000000" w:rsidRDefault="00000000" w:rsidRPr="00000000" w14:paraId="0000002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Avizul conform prevăzut la art. 3 alin. (2) se emite inclusiv prin raportare la obligaţiile asumate de statul român în cadrul cooperării la nivelul organizaţiilor internaţionale din care România face parte şi a parteneriatelor strategice bilaterale, pentru evitarea unor riscuri care pot decurge din:</w:t>
      </w:r>
    </w:p>
    <w:p w:rsidR="00000000" w:rsidDel="00000000" w:rsidP="00000000" w:rsidRDefault="00000000" w:rsidRPr="00000000" w14:paraId="00000021">
      <w:pPr>
        <w:numPr>
          <w:ilvl w:val="0"/>
          <w:numId w:val="1"/>
        </w:numPr>
        <w:spacing w:after="0"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controlul unui guvern străin asupra producătorului în lipsa unui sistem juridic independent;</w:t>
      </w:r>
    </w:p>
    <w:p w:rsidR="00000000" w:rsidDel="00000000" w:rsidP="00000000" w:rsidRDefault="00000000" w:rsidRPr="00000000" w14:paraId="00000022">
      <w:pPr>
        <w:numPr>
          <w:ilvl w:val="0"/>
          <w:numId w:val="1"/>
        </w:numPr>
        <w:spacing w:after="0"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absenţa unei structuri transparente a acţionariatului producătorului;</w:t>
      </w:r>
    </w:p>
    <w:p w:rsidR="00000000" w:rsidDel="00000000" w:rsidP="00000000" w:rsidRDefault="00000000" w:rsidRPr="00000000" w14:paraId="00000023">
      <w:pPr>
        <w:numPr>
          <w:ilvl w:val="0"/>
          <w:numId w:val="1"/>
        </w:numPr>
        <w:spacing w:after="0"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lipsa unui istoric de conduită corporativă etică a producătorului;</w:t>
      </w:r>
    </w:p>
    <w:p w:rsidR="00000000" w:rsidDel="00000000" w:rsidP="00000000" w:rsidRDefault="00000000" w:rsidRPr="00000000" w14:paraId="00000024">
      <w:pPr>
        <w:numPr>
          <w:ilvl w:val="0"/>
          <w:numId w:val="1"/>
        </w:numPr>
        <w:spacing w:after="0"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funcţionarea producătorului într-un sistem juridic care nu impune practici corporative transparente.</w:t>
      </w:r>
    </w:p>
    <w:p w:rsidR="00000000" w:rsidDel="00000000" w:rsidP="00000000" w:rsidRDefault="00000000" w:rsidRPr="00000000" w14:paraId="00000025">
      <w:pPr>
        <w:spacing w:after="0" w:line="360" w:lineRule="auto"/>
        <w:ind w:firstLine="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6.</w:t>
      </w:r>
      <w:r w:rsidDel="00000000" w:rsidR="00000000" w:rsidRPr="00000000">
        <w:rPr>
          <w:rFonts w:ascii="Times New Roman" w:cs="Times New Roman" w:eastAsia="Times New Roman" w:hAnsi="Times New Roman"/>
          <w:sz w:val="24"/>
          <w:szCs w:val="24"/>
          <w:rtl w:val="0"/>
        </w:rPr>
        <w:t xml:space="preserve"> – Solicitarea pentru obţinerea autorizării este respinsă prin decizie a Prim-Ministrului, în situaţia în care avizul CSAT este negativ.</w:t>
      </w:r>
    </w:p>
    <w:p w:rsidR="00000000" w:rsidDel="00000000" w:rsidP="00000000" w:rsidRDefault="00000000" w:rsidRPr="00000000" w14:paraId="00000027">
      <w:pPr>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7.</w:t>
      </w:r>
      <w:r w:rsidDel="00000000" w:rsidR="00000000" w:rsidRPr="00000000">
        <w:rPr>
          <w:rFonts w:ascii="Times New Roman" w:cs="Times New Roman" w:eastAsia="Times New Roman" w:hAnsi="Times New Roman"/>
          <w:sz w:val="24"/>
          <w:szCs w:val="24"/>
          <w:rtl w:val="0"/>
        </w:rPr>
        <w:t xml:space="preserve"> – În cazul în care, ulterior acordării autorizării conform art. 3, există riscuri, amenințări şi vulnerabilități la adresa securității naționale și/sau apărării naționale, autorizarea obţinută este retrasă prin decizie a Prim-Ministrului, la solicitarea CSAT.</w:t>
      </w:r>
    </w:p>
    <w:p w:rsidR="00000000" w:rsidDel="00000000" w:rsidP="00000000" w:rsidRDefault="00000000" w:rsidRPr="00000000" w14:paraId="0000002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8.</w:t>
      </w:r>
      <w:r w:rsidDel="00000000" w:rsidR="00000000" w:rsidRPr="00000000">
        <w:rPr>
          <w:rFonts w:ascii="Times New Roman" w:cs="Times New Roman" w:eastAsia="Times New Roman" w:hAnsi="Times New Roman"/>
          <w:sz w:val="24"/>
          <w:szCs w:val="24"/>
          <w:rtl w:val="0"/>
        </w:rPr>
        <w:t xml:space="preserve"> – (1) Prin derogare de la prevederile art. 7 din Legea contenciosului administrativ nr. 554/2004, cu modificările şi completările ulterioare, deciziile adoptate potrivit prezentei legi pot fi atacate în contencios administrativ la Curtea de Apel Bucureşti, fără parcurgerea procedurii prealabile. Deciziile pot fi atacate în termen de 30 de zile de la publicarea acestora în Monitorul Oficial al României.</w:t>
      </w:r>
    </w:p>
    <w:p w:rsidR="00000000" w:rsidDel="00000000" w:rsidP="00000000" w:rsidRDefault="00000000" w:rsidRPr="00000000" w14:paraId="0000002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În cazul deciziilor adoptate potrivit prezentei legi nu sunt aplicabile prevederile art. 14 din Legea nr. 554/2004 a contenciosului administrativ, cu modificările și completările ulterioare.</w:t>
      </w:r>
    </w:p>
    <w:p w:rsidR="00000000" w:rsidDel="00000000" w:rsidP="00000000" w:rsidRDefault="00000000" w:rsidRPr="00000000" w14:paraId="0000002C">
      <w:pPr>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9. – </w:t>
      </w:r>
      <w:r w:rsidDel="00000000" w:rsidR="00000000" w:rsidRPr="00000000">
        <w:rPr>
          <w:rFonts w:ascii="Times New Roman" w:cs="Times New Roman" w:eastAsia="Times New Roman" w:hAnsi="Times New Roman"/>
          <w:sz w:val="24"/>
          <w:szCs w:val="24"/>
          <w:rtl w:val="0"/>
        </w:rPr>
        <w:t xml:space="preserve">Furnizorii de reţele şi servicii de comunicaţii electronice autorizați în condițiile Ordonanței de urgență a Guvernului nr. 111/2011 privind comunicațiile electronice, aprobată, cu modificări şi completări, prin Legea nr. 140/2012, cu modificările și completările ulterioare, pot utiliza numai tehnologii, echipamente și programe software în rețelele 5G puse la dispoziție de producători autorizaţi în conformitate cu art. 3.</w:t>
      </w:r>
    </w:p>
    <w:p w:rsidR="00000000" w:rsidDel="00000000" w:rsidP="00000000" w:rsidRDefault="00000000" w:rsidRPr="00000000" w14:paraId="0000002E">
      <w:pPr>
        <w:spacing w:after="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Art. 10.</w:t>
      </w:r>
      <w:r w:rsidDel="00000000" w:rsidR="00000000" w:rsidRPr="00000000">
        <w:rPr>
          <w:rFonts w:ascii="Times New Roman" w:cs="Times New Roman" w:eastAsia="Times New Roman" w:hAnsi="Times New Roman"/>
          <w:sz w:val="24"/>
          <w:szCs w:val="24"/>
          <w:rtl w:val="0"/>
        </w:rPr>
        <w:t xml:space="preserve"> – (1) Tehnologiile, echipamentele şi programele software utilizate în reţelele de comunicaţii electronice la data intrării în vigoare a prezentei legi şi care contribuie la furnizarea de servicii de comunicaţii electronice de tip 5G, ale căror producători nu dețin autorizare potrivit prevederilor prezentei legi, pot fi utilizate pentru o perioadă de maxim 5 ani.</w:t>
      </w:r>
      <w:r w:rsidDel="00000000" w:rsidR="00000000" w:rsidRPr="00000000">
        <w:rPr>
          <w:rtl w:val="0"/>
        </w:rPr>
      </w:r>
    </w:p>
    <w:p w:rsidR="00000000" w:rsidDel="00000000" w:rsidP="00000000" w:rsidRDefault="00000000" w:rsidRPr="00000000" w14:paraId="0000003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Nerespectarea prevederilor alin. (1) atrage după sine interzicerea utilizării tehnologiilor, echipamentelor și a programelor software în cauză.</w:t>
      </w:r>
    </w:p>
    <w:p w:rsidR="00000000" w:rsidDel="00000000" w:rsidP="00000000" w:rsidRDefault="00000000" w:rsidRPr="00000000" w14:paraId="0000003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11.</w:t>
      </w:r>
      <w:r w:rsidDel="00000000" w:rsidR="00000000" w:rsidRPr="00000000">
        <w:rPr>
          <w:rFonts w:ascii="Times New Roman" w:cs="Times New Roman" w:eastAsia="Times New Roman" w:hAnsi="Times New Roman"/>
          <w:sz w:val="24"/>
          <w:szCs w:val="24"/>
          <w:rtl w:val="0"/>
        </w:rPr>
        <w:t xml:space="preserve"> – (1) Autorităţile contractante din sistemul naţional de apărare, ordine publică şi securitate naţională au dreptul de a solicita prin documentaţia de atribuire, în situaţia în care contractul are ca obiect şi furnizarea de  tehnologii, echipamente și programe software destinate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infrastructurilor informatice și de comunicații de interes național, ca producătorul acestora să fie autorizat conform art. 3.  </w:t>
      </w:r>
    </w:p>
    <w:p w:rsidR="00000000" w:rsidDel="00000000" w:rsidP="00000000" w:rsidRDefault="00000000" w:rsidRPr="00000000" w14:paraId="0000003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În situaţia în care autorităţile contractante din sistemul naţional de apărare, ordine publică şi securitate naţională uzează de dreptul prevăzut la alin. (1), acestea au obligaţia de a exclude din procedura de achiziţie publică operatorul economic care furnizează tehnologii, echipamente și programe software al căror producător nu este autorizat conform art. 3.</w:t>
      </w:r>
    </w:p>
    <w:p w:rsidR="00000000" w:rsidDel="00000000" w:rsidP="00000000" w:rsidRDefault="00000000" w:rsidRPr="00000000" w14:paraId="00000034">
      <w:pPr>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12.</w:t>
      </w:r>
      <w:r w:rsidDel="00000000" w:rsidR="00000000" w:rsidRPr="00000000">
        <w:rPr>
          <w:rFonts w:ascii="Times New Roman" w:cs="Times New Roman" w:eastAsia="Times New Roman" w:hAnsi="Times New Roman"/>
          <w:sz w:val="24"/>
          <w:szCs w:val="24"/>
          <w:rtl w:val="0"/>
        </w:rPr>
        <w:t xml:space="preserve"> – (1) În vederea verificării respectării art. 9-10, precum şi pentru îmbunătăţirea rezilienţei reţelelor 5G la nivel naţional, Autoritatea Națională pentru Administrare și Reglementare în Comunicații, denumită în continuare </w:t>
      </w:r>
      <w:r w:rsidDel="00000000" w:rsidR="00000000" w:rsidRPr="00000000">
        <w:rPr>
          <w:rFonts w:ascii="Times New Roman" w:cs="Times New Roman" w:eastAsia="Times New Roman" w:hAnsi="Times New Roman"/>
          <w:i w:val="1"/>
          <w:sz w:val="24"/>
          <w:szCs w:val="24"/>
          <w:rtl w:val="0"/>
        </w:rPr>
        <w:t xml:space="preserve">ANCOM</w:t>
      </w:r>
      <w:r w:rsidDel="00000000" w:rsidR="00000000" w:rsidRPr="00000000">
        <w:rPr>
          <w:rFonts w:ascii="Times New Roman" w:cs="Times New Roman" w:eastAsia="Times New Roman" w:hAnsi="Times New Roman"/>
          <w:sz w:val="24"/>
          <w:szCs w:val="24"/>
          <w:rtl w:val="0"/>
        </w:rPr>
        <w:t xml:space="preserve">, solicită furnizorilor de reţele şi servicii de comunicaţii electronice informații detaliate cu privire la tehnologiile, echipamentele și programele software implementate în rețelele 5G, cu privire la producătorul acestora, precum și cu privire la gradul de externalizare către terțe părți al anumitor activități referitoare la gestionarea rețelelor de comunicații electronice furnizate.</w:t>
      </w:r>
    </w:p>
    <w:p w:rsidR="00000000" w:rsidDel="00000000" w:rsidP="00000000" w:rsidRDefault="00000000" w:rsidRPr="00000000" w14:paraId="00000036">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Furnizorii de reţele şi servicii de comunicaţii electronice au obligaţia de a pune la dispoziţie informaţiile solicitate, în termenul şi în condiţiile indicate de ANCOM.</w:t>
      </w:r>
    </w:p>
    <w:p w:rsidR="00000000" w:rsidDel="00000000" w:rsidP="00000000" w:rsidRDefault="00000000" w:rsidRPr="00000000" w14:paraId="00000037">
      <w:pPr>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13.</w:t>
      </w:r>
      <w:r w:rsidDel="00000000" w:rsidR="00000000" w:rsidRPr="00000000">
        <w:rPr>
          <w:rFonts w:ascii="Times New Roman" w:cs="Times New Roman" w:eastAsia="Times New Roman" w:hAnsi="Times New Roman"/>
          <w:sz w:val="24"/>
          <w:szCs w:val="24"/>
          <w:rtl w:val="0"/>
        </w:rPr>
        <w:t xml:space="preserve"> – Constituie contravenţii următoarele fapte dacă nu au fost săvârşite în astfel de condiţii încât să fie considerate, potrivit legii, infracţiuni:</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utilizarea de către furnizorii de reţele şi servicii de comunicaţii electronice a tehnologiilor, echipamentelor și programelor software în rețelele 5G puse la dispoziție de producători care nu au obținut sau cărora le-a fost retrasă autorizarea stabilită în conformitate cu art. 3;</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utilizarea tehnologiilor, echipamentelor şi programelor software în reţelele de comunicaţii electronice cu nerespectarea art. 10 alin. (1);</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netransmiterea informațiilor solicitate furnizorilor de reţele şi servicii de comunicaţii electronice în condițiile art. 12.</w:t>
      </w:r>
    </w:p>
    <w:p w:rsidR="00000000" w:rsidDel="00000000" w:rsidP="00000000" w:rsidRDefault="00000000" w:rsidRPr="00000000" w14:paraId="0000003C">
      <w:pPr>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 – (1) Prin derogare de la dispoziţiile art. 8 alin. (2) lit. a) din Ordonanţa Guvernului nr. 2/2001 privind regimul juridic al contravenţiilor, aprobată cu modificări şi completări prin Legea nr. 180/2002, cu modificările şi completările ulterioare, contravențiile prevăzute la art. 13 se sancționează astfel:</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 amendă în cuantum cuprins între 1% și 5% din cifra de afaceri, în cazul faptelor prevăzute la art. 13 lit. a)-b);</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 amendă în cuantum cuprins între 3% și 10% din cifra de afaceri, în cazul faptei prevăzute la art. 13 lit. c).</w:t>
      </w:r>
    </w:p>
    <w:p w:rsidR="00000000" w:rsidDel="00000000" w:rsidP="00000000" w:rsidRDefault="00000000" w:rsidRPr="00000000" w14:paraId="0000004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Cifra de afaceri este cea prevăzută în ultima situaţie financiară anuală raportată de operatorul economic.</w:t>
      </w:r>
    </w:p>
    <w:p w:rsidR="00000000" w:rsidDel="00000000" w:rsidP="00000000" w:rsidRDefault="00000000" w:rsidRPr="00000000" w14:paraId="0000004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ANCOM dispune, prin procesul-verbal de constatare a contravenției şi de aplicare a sancțiunii, şi sancțiunea complementară a interzicerii imediate a utilizării în rețelele 5G a tehnologiilor, echipamentelor și a programelor software fabricate de producători care nu sunt autorizați conform art. 3.</w:t>
      </w:r>
    </w:p>
    <w:p w:rsidR="00000000" w:rsidDel="00000000" w:rsidP="00000000" w:rsidRDefault="00000000" w:rsidRPr="00000000" w14:paraId="00000042">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Art. 15.</w:t>
      </w:r>
      <w:r w:rsidDel="00000000" w:rsidR="00000000" w:rsidRPr="00000000">
        <w:rPr>
          <w:rFonts w:ascii="Times New Roman" w:cs="Times New Roman" w:eastAsia="Times New Roman" w:hAnsi="Times New Roman"/>
          <w:sz w:val="24"/>
          <w:szCs w:val="24"/>
          <w:rtl w:val="0"/>
        </w:rPr>
        <w:t xml:space="preserve"> – (1) Contravenţiile prevăzute la art. 13 se constată de către personalul de control din cadrul ANCOM</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prin procesul-verbal de constatare a contravenţiei şi de aplicare a sancţiunii.</w:t>
      </w:r>
    </w:p>
    <w:p w:rsidR="00000000" w:rsidDel="00000000" w:rsidP="00000000" w:rsidRDefault="00000000" w:rsidRPr="00000000" w14:paraId="0000004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Sancțiunea pentru contravențiile prevăzute la alin. (1) se aplică, prin rezoluţie scrisă, de către preşedintele ANCOM.</w:t>
      </w:r>
    </w:p>
    <w:p w:rsidR="00000000" w:rsidDel="00000000" w:rsidP="00000000" w:rsidRDefault="00000000" w:rsidRPr="00000000" w14:paraId="00000045">
      <w:pPr>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16.</w:t>
      </w:r>
      <w:r w:rsidDel="00000000" w:rsidR="00000000" w:rsidRPr="00000000">
        <w:rPr>
          <w:rFonts w:ascii="Times New Roman" w:cs="Times New Roman" w:eastAsia="Times New Roman" w:hAnsi="Times New Roman"/>
          <w:sz w:val="24"/>
          <w:szCs w:val="24"/>
          <w:rtl w:val="0"/>
        </w:rPr>
        <w:t xml:space="preserve"> – În cazul sancțiunilor aplicate pentru săvârșirea contravențiilor prevăzute la art. 13 nu sunt aplicabile prevederile art. 28 alin. (1) din Ordonanţa Guvernului nr. 2/2001, aprobată cu modificări şi completări prin Legea nr. 180/2002, cu modificările şi completările ulterioare, şi ale Legii nr. 203/2018 privind măsuri de eficientizare a achitării amenzilor contravenţionale, cu modificările ulterioare.</w:t>
      </w:r>
    </w:p>
    <w:p w:rsidR="00000000" w:rsidDel="00000000" w:rsidP="00000000" w:rsidRDefault="00000000" w:rsidRPr="00000000" w14:paraId="00000047">
      <w:pPr>
        <w:spacing w:after="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17.</w:t>
      </w:r>
      <w:r w:rsidDel="00000000" w:rsidR="00000000" w:rsidRPr="00000000">
        <w:rPr>
          <w:rFonts w:ascii="Times New Roman" w:cs="Times New Roman" w:eastAsia="Times New Roman" w:hAnsi="Times New Roman"/>
          <w:sz w:val="24"/>
          <w:szCs w:val="24"/>
          <w:rtl w:val="0"/>
        </w:rPr>
        <w:t xml:space="preserve"> – Prevederile art. 13-14 intră în vigoare la 30 de zile de la data publicării în Monitorul Oficial al României, Partea I.</w:t>
      </w:r>
    </w:p>
    <w:sectPr>
      <w:headerReference r:id="rId6" w:type="default"/>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440" w:hanging="360"/>
      </w:pPr>
      <w:rPr/>
    </w:lvl>
    <w:lvl w:ilvl="1">
      <w:start w:val="1"/>
      <w:numFmt w:val="lowerRoman"/>
      <w:lvlText w:val="%2."/>
      <w:lvlJc w:val="righ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